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6C7DCA" w:rsidRPr="006A4F6B" w14:paraId="5BAA81CF" w14:textId="77777777" w:rsidTr="00DC6DD5">
        <w:trPr>
          <w:trHeight w:val="269"/>
        </w:trPr>
        <w:tc>
          <w:tcPr>
            <w:tcW w:w="9493" w:type="dxa"/>
            <w:gridSpan w:val="2"/>
          </w:tcPr>
          <w:p w14:paraId="7C90D78F" w14:textId="18A5F2C0" w:rsidR="006C7DCA" w:rsidRPr="006A4F6B" w:rsidRDefault="00175474" w:rsidP="00175474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</w:pP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 № 1 </w:t>
            </w:r>
            <w:r w:rsidR="00693D16"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</w:p>
        </w:tc>
      </w:tr>
      <w:tr w:rsidR="00FF0FEE" w:rsidRPr="006A4F6B" w14:paraId="0098B4BD" w14:textId="77777777" w:rsidTr="00FF0FEE">
        <w:trPr>
          <w:trHeight w:val="269"/>
        </w:trPr>
        <w:tc>
          <w:tcPr>
            <w:tcW w:w="4672" w:type="dxa"/>
          </w:tcPr>
          <w:p w14:paraId="40A5A593" w14:textId="77777777" w:rsidR="00FF0FEE" w:rsidRPr="006A4F6B" w:rsidRDefault="00FF0FEE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37EED27B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</w:tr>
      <w:tr w:rsidR="00FF0FEE" w:rsidRPr="006443BF" w14:paraId="16835B83" w14:textId="77777777" w:rsidTr="00FF0FEE">
        <w:tc>
          <w:tcPr>
            <w:tcW w:w="4672" w:type="dxa"/>
          </w:tcPr>
          <w:p w14:paraId="7D5A5BD2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Шоттар жөнелтілетін мекенжай</w:t>
            </w:r>
          </w:p>
        </w:tc>
      </w:tr>
      <w:tr w:rsidR="00FF0FEE" w:rsidRPr="006443BF" w14:paraId="0AD42D77" w14:textId="77777777" w:rsidTr="00FF0FEE">
        <w:tc>
          <w:tcPr>
            <w:tcW w:w="4672" w:type="dxa"/>
          </w:tcPr>
          <w:p w14:paraId="485A77D9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F0FEE" w:rsidRPr="006443BF" w14:paraId="57E5F580" w14:textId="77777777" w:rsidTr="00FF0FEE">
        <w:tc>
          <w:tcPr>
            <w:tcW w:w="4672" w:type="dxa"/>
          </w:tcPr>
          <w:p w14:paraId="08E0F0FF" w14:textId="6DAFC930" w:rsidR="00FF0FEE" w:rsidRPr="00C241D0" w:rsidRDefault="00FF0FEE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73DBB360" w:rsidR="00FF0FEE" w:rsidRPr="00C241D0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</w:tr>
      <w:tr w:rsidR="00FF0FEE" w:rsidRPr="006443BF" w14:paraId="22075892" w14:textId="77777777" w:rsidTr="00FF0FEE">
        <w:tc>
          <w:tcPr>
            <w:tcW w:w="4672" w:type="dxa"/>
          </w:tcPr>
          <w:p w14:paraId="2C0805BE" w14:textId="77777777" w:rsidR="00FF0FEE" w:rsidRPr="00FF0FEE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FF0FEE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443BF" w14:paraId="790A5E3B" w14:textId="77777777" w:rsidTr="00FF0FEE">
        <w:tc>
          <w:tcPr>
            <w:tcW w:w="4672" w:type="dxa"/>
          </w:tcPr>
          <w:p w14:paraId="0EDD8E04" w14:textId="477E71CD" w:rsidR="00FF0FEE" w:rsidRPr="00FF0FEE" w:rsidRDefault="00E9201A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 «Востокэнерго»</w:t>
            </w:r>
          </w:p>
        </w:tc>
        <w:tc>
          <w:tcPr>
            <w:tcW w:w="4821" w:type="dxa"/>
          </w:tcPr>
          <w:p w14:paraId="649DF309" w14:textId="7811F683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</w:pPr>
            <w:r w:rsidRPr="00FF0FEE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«</w:t>
            </w:r>
            <w:r w:rsidR="00E9201A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Востокэнерго»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</w:tr>
      <w:tr w:rsidR="00FF0FEE" w:rsidRPr="006443BF" w14:paraId="21F95C97" w14:textId="77777777" w:rsidTr="00FF0FEE">
        <w:tc>
          <w:tcPr>
            <w:tcW w:w="4672" w:type="dxa"/>
          </w:tcPr>
          <w:p w14:paraId="1DCDF5D9" w14:textId="77777777" w:rsidR="00FF0FEE" w:rsidRPr="00FF0FEE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</w:tcPr>
          <w:p w14:paraId="015D356A" w14:textId="77777777" w:rsidR="00FF0FEE" w:rsidRPr="00FF0FEE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443BF" w14:paraId="458C1819" w14:textId="77777777" w:rsidTr="00A51D63">
        <w:trPr>
          <w:trHeight w:val="589"/>
        </w:trPr>
        <w:tc>
          <w:tcPr>
            <w:tcW w:w="4672" w:type="dxa"/>
          </w:tcPr>
          <w:p w14:paraId="7661D336" w14:textId="496CCD4B" w:rsidR="00FF0FEE" w:rsidRPr="008F3FCD" w:rsidRDefault="00DE0228" w:rsidP="008453E0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kk-KZ"/>
              </w:rPr>
            </w:pP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Р</w:t>
            </w:r>
            <w:r w:rsidR="005A4D6C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еспублика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К</w:t>
            </w:r>
            <w:r w:rsidR="005A4D6C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азахстан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r w:rsidR="00A96748" w:rsidRP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Восточно-Казахстанская область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, г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ород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Усть-Каменогорск, ул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>ица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 Казахстан, д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ом </w:t>
            </w:r>
            <w:r w:rsidRPr="008F3FCD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81/2, </w:t>
            </w:r>
            <w:r w:rsidR="00A96748">
              <w:rPr>
                <w:rFonts w:ascii="Times New Roman" w:hAnsi="Times New Roman" w:cs="Times New Roman"/>
                <w:sz w:val="16"/>
                <w:szCs w:val="16"/>
                <w:lang w:eastAsia="kk-KZ"/>
              </w:rPr>
              <w:t xml:space="preserve">почтовый </w:t>
            </w:r>
            <w:r w:rsidR="008F3FCD"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индекс </w:t>
            </w:r>
            <w:r w:rsidR="008F3FCD" w:rsidRPr="008F3FCD">
              <w:rPr>
                <w:rFonts w:ascii="Times New Roman" w:hAnsi="Times New Roman" w:cs="Times New Roman"/>
                <w:sz w:val="16"/>
                <w:szCs w:val="16"/>
              </w:rPr>
              <w:t>07001</w:t>
            </w:r>
            <w:r w:rsidR="003A21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21" w:type="dxa"/>
          </w:tcPr>
          <w:p w14:paraId="21F0ADF6" w14:textId="5D40E53C" w:rsidR="00FF0FEE" w:rsidRPr="008F3FCD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Қазақстан Республикасы, </w:t>
            </w:r>
            <w:r w:rsidR="00DC4486" w:rsidRP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>Шығыс Қазақстан облысы</w:t>
            </w:r>
            <w:r w:rsid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>,</w:t>
            </w:r>
            <w:r w:rsidR="00DC4486" w:rsidRPr="00DC4486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="00F971BE" w:rsidRPr="008F3FCD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kk-KZ"/>
              </w:rPr>
              <w:t>Өскемен</w:t>
            </w:r>
            <w:r w:rsidR="00F971BE"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қаласы, </w:t>
            </w:r>
            <w:r w:rsidR="00993873" w:rsidRPr="008F3FCD">
              <w:rPr>
                <w:rFonts w:ascii="Times New Roman" w:eastAsiaTheme="minorEastAsia" w:hAnsi="Times New Roman" w:cs="Times New Roman"/>
                <w:sz w:val="16"/>
                <w:szCs w:val="16"/>
                <w:lang w:val="kk-KZ" w:eastAsia="kk-KZ"/>
              </w:rPr>
              <w:t>Қазақстан көшесі, 81/2 үй</w:t>
            </w:r>
            <w:r w:rsidRPr="008F3FCD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индекс </w:t>
            </w:r>
            <w:r w:rsidR="008F3FCD" w:rsidRPr="008F3FCD">
              <w:rPr>
                <w:rFonts w:ascii="Times New Roman" w:hAnsi="Times New Roman" w:cs="Times New Roman"/>
                <w:sz w:val="16"/>
                <w:szCs w:val="16"/>
              </w:rPr>
              <w:t>070019</w:t>
            </w:r>
          </w:p>
        </w:tc>
      </w:tr>
      <w:tr w:rsidR="00FF0FEE" w:rsidRPr="006443BF" w14:paraId="7609EDCF" w14:textId="77777777" w:rsidTr="00A51D63">
        <w:trPr>
          <w:trHeight w:val="459"/>
        </w:trPr>
        <w:tc>
          <w:tcPr>
            <w:tcW w:w="4672" w:type="dxa"/>
          </w:tcPr>
          <w:p w14:paraId="2FBE3E81" w14:textId="77777777" w:rsidR="00E9201A" w:rsidRPr="00A51D63" w:rsidRDefault="00FF0FEE" w:rsidP="001E4DC5">
            <w:pPr>
              <w:spacing w:after="60" w:line="200" w:lineRule="exact"/>
              <w:rPr>
                <w:rFonts w:ascii="Times New Roman" w:hAnsi="Times New Roman"/>
                <w:b/>
                <w:sz w:val="16"/>
              </w:rPr>
            </w:pPr>
            <w:r w:rsidRPr="00A51D63">
              <w:rPr>
                <w:rFonts w:ascii="Times New Roman" w:hAnsi="Times New Roman"/>
                <w:b/>
                <w:sz w:val="16"/>
              </w:rPr>
              <w:t xml:space="preserve">ТОО </w:t>
            </w:r>
            <w:r w:rsidR="00E9201A" w:rsidRPr="00A51D63">
              <w:rPr>
                <w:rFonts w:ascii="Times New Roman" w:hAnsi="Times New Roman"/>
                <w:b/>
                <w:sz w:val="16"/>
              </w:rPr>
              <w:t>«Востокэнерго»</w:t>
            </w:r>
          </w:p>
          <w:p w14:paraId="7328DF7A" w14:textId="71B3AF9D" w:rsidR="00FF0FEE" w:rsidRPr="008F3FCD" w:rsidRDefault="006621FC" w:rsidP="001E4DC5">
            <w:pPr>
              <w:spacing w:after="60" w:line="200" w:lineRule="exact"/>
              <w:rPr>
                <w:rStyle w:val="Hyperlink"/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7" w:history="1">
              <w:r w:rsidR="003A2164" w:rsidRPr="00917AD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vostokenergo@kazminerals.com</w:t>
              </w:r>
            </w:hyperlink>
            <w:r w:rsidR="003A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55BDD" w14:textId="77777777" w:rsidR="00FF0FEE" w:rsidRPr="008F3FCD" w:rsidRDefault="00FF0FEE" w:rsidP="00E9201A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4821" w:type="dxa"/>
          </w:tcPr>
          <w:p w14:paraId="0CDAA048" w14:textId="0AF6B86C" w:rsidR="00FF0FEE" w:rsidRPr="00A51D63" w:rsidRDefault="00E9201A" w:rsidP="002C2006">
            <w:pPr>
              <w:spacing w:after="60" w:line="200" w:lineRule="exact"/>
              <w:rPr>
                <w:rFonts w:ascii="Times New Roman" w:hAnsi="Times New Roman"/>
                <w:b/>
                <w:sz w:val="16"/>
              </w:rPr>
            </w:pPr>
            <w:r w:rsidRPr="00A51D63">
              <w:rPr>
                <w:rFonts w:ascii="Times New Roman" w:hAnsi="Times New Roman"/>
                <w:b/>
                <w:sz w:val="16"/>
              </w:rPr>
              <w:t xml:space="preserve">«Востокэнерго» </w:t>
            </w:r>
            <w:r w:rsidR="00FF0FEE" w:rsidRPr="00A51D63">
              <w:rPr>
                <w:rFonts w:ascii="Times New Roman" w:hAnsi="Times New Roman"/>
                <w:b/>
                <w:sz w:val="16"/>
              </w:rPr>
              <w:t>ЖШС</w:t>
            </w:r>
          </w:p>
          <w:p w14:paraId="50C44CAB" w14:textId="0A05C3F8" w:rsidR="00FF0FEE" w:rsidRPr="008F3FCD" w:rsidRDefault="006621FC" w:rsidP="002C2006">
            <w:pPr>
              <w:spacing w:after="60" w:line="200" w:lineRule="exact"/>
              <w:rPr>
                <w:rStyle w:val="Hyperlink"/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8" w:history="1">
              <w:r w:rsidR="003A2164" w:rsidRPr="00917AD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vostokenergo@kazminerals.com</w:t>
              </w:r>
            </w:hyperlink>
            <w:r w:rsidR="003A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21EC86" w14:textId="7EAE0785" w:rsidR="00FF0FEE" w:rsidRPr="008F3FCD" w:rsidRDefault="00FF0FEE" w:rsidP="00E9201A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FF0FEE" w:rsidRPr="006A4F6B" w14:paraId="7A128D4C" w14:textId="77777777" w:rsidTr="00FF0FEE">
        <w:tc>
          <w:tcPr>
            <w:tcW w:w="4672" w:type="dxa"/>
          </w:tcPr>
          <w:p w14:paraId="75F5273D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FF0FEE" w:rsidRPr="006A4F6B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 назарына: Қаржы департаменті</w:t>
            </w:r>
          </w:p>
        </w:tc>
      </w:tr>
      <w:tr w:rsidR="00FF0FEE" w:rsidRPr="006A4F6B" w14:paraId="28E896BC" w14:textId="77777777" w:rsidTr="00FF0FEE">
        <w:tc>
          <w:tcPr>
            <w:tcW w:w="4672" w:type="dxa"/>
          </w:tcPr>
          <w:p w14:paraId="34C3916C" w14:textId="77777777" w:rsidR="00FF0FEE" w:rsidRPr="006A4F6B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03861CE8" w:rsidR="00FF0FEE" w:rsidRPr="00A51D63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Шарттар</w:t>
            </w:r>
          </w:p>
        </w:tc>
      </w:tr>
      <w:tr w:rsidR="00FF0FEE" w:rsidRPr="006443BF" w14:paraId="2D292E2F" w14:textId="77777777" w:rsidTr="00FF0FEE">
        <w:tc>
          <w:tcPr>
            <w:tcW w:w="4672" w:type="dxa"/>
          </w:tcPr>
          <w:p w14:paraId="7DEB749F" w14:textId="3300D8D0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</w:t>
            </w:r>
            <w:r w:rsidR="00D127C9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Исполнителю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4CE5FF28" w14:textId="5B8BC5A6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Төменде көрсетілген кез келген талаптарды орындамау немесе дәл ұстанбау төлемді кешеуілдетуге және/немесе </w:t>
            </w:r>
            <w:r w:rsidR="00A6281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Орындаушыға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шотты қайтарып беруге жеткілікті негіз болып есептеледі. </w:t>
            </w:r>
          </w:p>
        </w:tc>
      </w:tr>
      <w:tr w:rsidR="00FF0FEE" w:rsidRPr="006A4F6B" w14:paraId="1F42411A" w14:textId="77777777" w:rsidTr="00FF0FEE">
        <w:tc>
          <w:tcPr>
            <w:tcW w:w="4672" w:type="dxa"/>
          </w:tcPr>
          <w:p w14:paraId="1FDD88C8" w14:textId="7D5E4221" w:rsidR="00FF0FEE" w:rsidRPr="00C241D0" w:rsidRDefault="00FF0FEE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FF0FEE" w:rsidRPr="00C241D0" w:rsidRDefault="00FF0FEE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Жалпы ережелер: </w:t>
            </w:r>
          </w:p>
        </w:tc>
      </w:tr>
      <w:tr w:rsidR="00FF0FEE" w:rsidRPr="006443BF" w14:paraId="3875F50D" w14:textId="77777777" w:rsidTr="00FF0FEE">
        <w:tc>
          <w:tcPr>
            <w:tcW w:w="4672" w:type="dxa"/>
          </w:tcPr>
          <w:p w14:paraId="5D1A5DA0" w14:textId="724604CB" w:rsidR="00FF0FEE" w:rsidRPr="00C241D0" w:rsidRDefault="00FF0FEE" w:rsidP="008453E0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Наименование, адрес и банковские реквизиты </w:t>
            </w:r>
            <w:r w:rsidR="00045C43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Исполнителя</w:t>
            </w:r>
            <w:r w:rsidR="00045C43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8453E0">
              <w:rPr>
                <w:rFonts w:ascii="Times New Roman" w:hAnsi="Times New Roman" w:cs="Times New Roman"/>
                <w:sz w:val="16"/>
                <w:szCs w:val="16"/>
              </w:rPr>
              <w:t>должны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29BBE5F8" w:rsidR="00FF0FEE" w:rsidRPr="00C241D0" w:rsidRDefault="00A6281F" w:rsidP="00A32A76">
            <w:pPr>
              <w:pStyle w:val="ListParagraph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 xml:space="preserve">Орындаушының </w:t>
            </w:r>
            <w:r w:rsidR="00FF0FEE" w:rsidRPr="00C241D0">
              <w:rPr>
                <w:rFonts w:cs="Times New Roman"/>
                <w:sz w:val="16"/>
                <w:szCs w:val="16"/>
              </w:rPr>
              <w:t>атауы, мекенжайы және банктік деректемелері Шартта көрсетілген деректемелерге сәйкес келуі керек.</w:t>
            </w:r>
          </w:p>
        </w:tc>
      </w:tr>
      <w:tr w:rsidR="00FF0FEE" w:rsidRPr="006443BF" w14:paraId="27F0AA5D" w14:textId="77777777" w:rsidTr="00FF0FEE">
        <w:tc>
          <w:tcPr>
            <w:tcW w:w="4672" w:type="dxa"/>
          </w:tcPr>
          <w:p w14:paraId="2046D19C" w14:textId="3E85160E" w:rsidR="00FF0FEE" w:rsidRPr="00C241D0" w:rsidRDefault="00FF0FEE" w:rsidP="008453E0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</w:t>
            </w:r>
            <w:r w:rsidR="002A6044">
              <w:rPr>
                <w:rFonts w:ascii="Times New Roman" w:eastAsiaTheme="minorHAnsi" w:hAnsi="Times New Roman" w:cs="Times New Roman"/>
                <w:sz w:val="16"/>
                <w:szCs w:val="16"/>
              </w:rPr>
              <w:t>м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4B172735" w:rsidR="00FF0FEE" w:rsidRPr="00C241D0" w:rsidRDefault="00FF0FEE" w:rsidP="008453E0">
            <w:pPr>
              <w:pStyle w:val="ListParagraph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</w:rPr>
              <w:t>Электрондық шот-фактурада (</w:t>
            </w:r>
            <w:r w:rsidR="009155DE">
              <w:rPr>
                <w:rFonts w:cs="Times New Roman"/>
                <w:sz w:val="16"/>
                <w:szCs w:val="16"/>
                <w:lang w:val="kk-KZ"/>
              </w:rPr>
              <w:t>инвойста</w:t>
            </w:r>
            <w:r w:rsidRPr="00C241D0">
              <w:rPr>
                <w:rFonts w:cs="Times New Roman"/>
                <w:sz w:val="16"/>
                <w:szCs w:val="16"/>
              </w:rPr>
              <w:t xml:space="preserve">) мыналар </w:t>
            </w:r>
            <w:r w:rsidR="009155DE">
              <w:rPr>
                <w:rFonts w:cs="Times New Roman"/>
                <w:sz w:val="16"/>
                <w:szCs w:val="16"/>
                <w:lang w:val="kk-KZ"/>
              </w:rPr>
              <w:t xml:space="preserve">міндетті түрде </w:t>
            </w:r>
            <w:r w:rsidRPr="00C241D0">
              <w:rPr>
                <w:rFonts w:cs="Times New Roman"/>
                <w:sz w:val="16"/>
                <w:szCs w:val="16"/>
              </w:rPr>
              <w:t>көрсетілуі керек:</w:t>
            </w:r>
          </w:p>
        </w:tc>
      </w:tr>
      <w:tr w:rsidR="00FF0FEE" w:rsidRPr="006443BF" w14:paraId="067CF412" w14:textId="77777777" w:rsidTr="00FF0FEE">
        <w:tc>
          <w:tcPr>
            <w:tcW w:w="4672" w:type="dxa"/>
          </w:tcPr>
          <w:p w14:paraId="56C47F2F" w14:textId="14A0F7F9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693B6CAE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 есепке алу жүйесіндегі шот-фактураның (инвойс</w:t>
            </w:r>
            <w:r w:rsidR="00D354F3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тың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) нөмірі (нөмір қайталанбауы керек);</w:t>
            </w:r>
          </w:p>
        </w:tc>
      </w:tr>
      <w:tr w:rsidR="00FF0FEE" w:rsidRPr="006A4F6B" w14:paraId="62FBF74C" w14:textId="77777777" w:rsidTr="00FF0FEE">
        <w:tc>
          <w:tcPr>
            <w:tcW w:w="4672" w:type="dxa"/>
          </w:tcPr>
          <w:p w14:paraId="02AC0513" w14:textId="334720D9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</w:tr>
      <w:tr w:rsidR="00FF0FEE" w:rsidRPr="006443BF" w14:paraId="67FECCF6" w14:textId="77777777" w:rsidTr="00FF0FEE">
        <w:tc>
          <w:tcPr>
            <w:tcW w:w="4672" w:type="dxa"/>
          </w:tcPr>
          <w:p w14:paraId="774B09E7" w14:textId="6B3BA1FB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</w:tr>
      <w:tr w:rsidR="00FF0FEE" w:rsidRPr="006443BF" w14:paraId="03ECB1D5" w14:textId="77777777" w:rsidTr="00FF0FEE">
        <w:tc>
          <w:tcPr>
            <w:tcW w:w="4672" w:type="dxa"/>
          </w:tcPr>
          <w:p w14:paraId="3509D874" w14:textId="728A5CB5" w:rsidR="00FF0FEE" w:rsidRPr="00C241D0" w:rsidRDefault="00FF0FEE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  <w:r w:rsidR="007100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55C1A0DF" w14:textId="3EA5C753" w:rsidR="00FF0FEE" w:rsidRPr="00C241D0" w:rsidRDefault="00FF0FE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Шарттың нөмірі мен күні, </w:t>
            </w:r>
            <w:r w:rsidR="00D354F3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Жеткізуге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арналған </w:t>
            </w:r>
            <w:r w:rsidR="00D354F3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тапсырыстың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нөмірі мен күні</w:t>
            </w:r>
            <w:r w:rsidR="0071009D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.</w:t>
            </w:r>
          </w:p>
        </w:tc>
      </w:tr>
      <w:tr w:rsidR="00FF0FEE" w:rsidRPr="006A4F6B" w14:paraId="79D72D91" w14:textId="77777777" w:rsidTr="00FF0FEE">
        <w:tc>
          <w:tcPr>
            <w:tcW w:w="4672" w:type="dxa"/>
          </w:tcPr>
          <w:p w14:paraId="2A6EF3CD" w14:textId="5995C879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Қосымша ережелер: </w:t>
            </w:r>
          </w:p>
        </w:tc>
      </w:tr>
      <w:tr w:rsidR="00FF0FEE" w:rsidRPr="006443BF" w14:paraId="1DA8B072" w14:textId="77777777" w:rsidTr="00FF0FEE">
        <w:tc>
          <w:tcPr>
            <w:tcW w:w="4672" w:type="dxa"/>
          </w:tcPr>
          <w:p w14:paraId="4EFC07E4" w14:textId="4E74EFD2" w:rsidR="00FF0FEE" w:rsidRPr="00C241D0" w:rsidRDefault="00FF0FEE" w:rsidP="008453E0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8453E0">
              <w:rPr>
                <w:rFonts w:ascii="Times New Roman" w:hAnsi="Times New Roman" w:cs="Times New Roman"/>
                <w:sz w:val="16"/>
                <w:szCs w:val="16"/>
              </w:rPr>
              <w:t>Каждая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из позиций в электронном счёте-фактуре (инвойсе) должна содержать ссылку на соответствующую часть Договора.</w:t>
            </w:r>
          </w:p>
        </w:tc>
        <w:tc>
          <w:tcPr>
            <w:tcW w:w="4821" w:type="dxa"/>
          </w:tcPr>
          <w:p w14:paraId="35C7852E" w14:textId="4F1DB136" w:rsidR="00FF0FEE" w:rsidRPr="00C241D0" w:rsidRDefault="00FF0FEE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Электрондық шот-фактураның (инвойстың) әрқайсысында</w:t>
            </w:r>
            <w:r w:rsidR="009163EA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ғы позицияда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Шарттың тиісті бөлігіне сілтеме берілуі керек.</w:t>
            </w:r>
          </w:p>
        </w:tc>
      </w:tr>
      <w:tr w:rsidR="00FF0FEE" w:rsidRPr="00FF0FEE" w14:paraId="298BCA31" w14:textId="77777777" w:rsidTr="00FF0FEE">
        <w:tc>
          <w:tcPr>
            <w:tcW w:w="4672" w:type="dxa"/>
          </w:tcPr>
          <w:p w14:paraId="6B85C58D" w14:textId="7A339C57" w:rsidR="00FF0FEE" w:rsidRPr="00C241D0" w:rsidRDefault="00FF0FEE" w:rsidP="00A57C72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</w:t>
            </w:r>
            <w:r w:rsidR="00E9201A">
              <w:rPr>
                <w:rFonts w:ascii="Times New Roman" w:hAnsi="Times New Roman" w:cs="Times New Roman"/>
                <w:sz w:val="16"/>
                <w:szCs w:val="16"/>
              </w:rPr>
              <w:t>ТОО «Востокэнерго»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(не применимо, если </w:t>
            </w:r>
            <w:r w:rsidR="00221CCA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221CCA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221CCA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="00221CCA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079A4880" w:rsidR="00FF0FEE" w:rsidRPr="00C241D0" w:rsidRDefault="002B37E6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2B37E6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«Востокэнерго» ЖШС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F0FE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өкілдері Орындалған жұмыстар актісін жазбаша түрде келісімге алғаннан кейін esf.gov.kz порталына электрондық шот-фактура ұсынылады (егер </w:t>
            </w:r>
            <w:r w:rsidR="00743894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Қызмет көрсету</w:t>
            </w:r>
            <w:r w:rsidR="00743894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F0FE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шарт бойынша </w:t>
            </w:r>
            <w:r w:rsidR="00743894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Орындаушы</w:t>
            </w:r>
            <w:r w:rsidR="00743894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F0FE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Қазақстан Республикасының резиденті болмаса, қолданылмайды).</w:t>
            </w:r>
          </w:p>
        </w:tc>
      </w:tr>
      <w:tr w:rsidR="00FF0FEE" w:rsidRPr="00FF0FEE" w14:paraId="54D3BFAC" w14:textId="77777777" w:rsidTr="00FF0FEE">
        <w:tc>
          <w:tcPr>
            <w:tcW w:w="4672" w:type="dxa"/>
          </w:tcPr>
          <w:p w14:paraId="72D89416" w14:textId="713B1421" w:rsidR="00FF0FEE" w:rsidRPr="00C241D0" w:rsidRDefault="00FF0FEE" w:rsidP="00A51D63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Инвойс (если </w:t>
            </w:r>
            <w:r w:rsidR="00D20250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D20250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D20250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является </w:t>
            </w:r>
            <w:r w:rsidRPr="00A51D63">
              <w:rPr>
                <w:rFonts w:ascii="Times New Roman" w:eastAsiaTheme="minorHAnsi" w:hAnsi="Times New Roman" w:cs="Times New Roman"/>
                <w:sz w:val="16"/>
                <w:szCs w:val="16"/>
              </w:rPr>
              <w:t>нерезидент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Казахстан) и сопроводительные документы (Акт </w:t>
            </w:r>
            <w:r w:rsidR="00221CCA">
              <w:rPr>
                <w:rFonts w:ascii="Times New Roman" w:hAnsi="Times New Roman" w:cs="Times New Roman"/>
                <w:sz w:val="16"/>
                <w:szCs w:val="16"/>
              </w:rPr>
              <w:t>оказанных</w:t>
            </w:r>
            <w:r w:rsidR="00221CCA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1A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21CCA">
              <w:rPr>
                <w:rFonts w:ascii="Times New Roman" w:hAnsi="Times New Roman" w:cs="Times New Roman"/>
                <w:sz w:val="16"/>
                <w:szCs w:val="16"/>
              </w:rPr>
              <w:t>слуг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621CEFD5" w:rsidR="00FF0FEE" w:rsidRPr="00C241D0" w:rsidRDefault="00FF0FEE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Инвойс (егер </w:t>
            </w:r>
            <w:r w:rsidR="003B727D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Қызмет көрсету</w:t>
            </w:r>
            <w:r w:rsidR="003B727D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шарт</w:t>
            </w:r>
            <w:r w:rsidR="003B727D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ы</w:t>
            </w:r>
            <w:r w:rsidR="003B727D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бойынша </w:t>
            </w:r>
            <w:r w:rsidR="003B727D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Орындаушы</w:t>
            </w:r>
            <w:r w:rsidR="003B727D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Қазақстан Республикасының бейрезиденті болса) және ілеспе құжаттар (</w:t>
            </w:r>
            <w:r w:rsidR="00734C56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Көрсетілген қызметтер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актісі, жұмыс уақытын есепке алу табельдері, түбіртектер және Шартта көрсетілген басқа да құжаттар) түпнұсқада ұсынылады.</w:t>
            </w:r>
            <w:r w:rsidR="00734C56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FF0FEE" w:rsidRPr="006A4F6B" w14:paraId="6F69A441" w14:textId="77777777" w:rsidTr="00FF0FEE">
        <w:tc>
          <w:tcPr>
            <w:tcW w:w="4672" w:type="dxa"/>
          </w:tcPr>
          <w:p w14:paraId="5A6D0F29" w14:textId="2D16857E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FF0FEE" w:rsidRPr="00C241D0" w:rsidRDefault="00FF0FEE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 деректемелер</w:t>
            </w:r>
          </w:p>
        </w:tc>
      </w:tr>
      <w:tr w:rsidR="00FF0FEE" w:rsidRPr="00FF0FEE" w14:paraId="6638CC7F" w14:textId="77777777" w:rsidTr="00FF0FEE">
        <w:tc>
          <w:tcPr>
            <w:tcW w:w="4672" w:type="dxa"/>
          </w:tcPr>
          <w:p w14:paraId="42CF56E9" w14:textId="5DCC2639" w:rsidR="00FF0FEE" w:rsidRPr="00C241D0" w:rsidRDefault="00FF0FEE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О любых изменениях в банковских реквизитах </w:t>
            </w:r>
            <w:r w:rsidR="00D20250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Исполнитель</w:t>
            </w:r>
            <w:r w:rsidR="00D20250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5708D27A" w:rsidR="00FF0FEE" w:rsidRPr="00C241D0" w:rsidRDefault="00734C56" w:rsidP="00A32A76">
            <w:pPr>
              <w:pStyle w:val="ListParagraph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Орындаушы</w:t>
            </w:r>
            <w:r w:rsidRPr="00C241D0">
              <w:rPr>
                <w:rFonts w:cs="Times New Roman"/>
                <w:sz w:val="16"/>
                <w:szCs w:val="16"/>
                <w:lang w:val="kk-KZ"/>
              </w:rPr>
              <w:t xml:space="preserve"> </w:t>
            </w:r>
            <w:r w:rsidR="00FF0FEE" w:rsidRPr="00C241D0">
              <w:rPr>
                <w:rFonts w:cs="Times New Roman"/>
                <w:sz w:val="16"/>
                <w:szCs w:val="16"/>
                <w:lang w:val="kk-KZ"/>
              </w:rPr>
              <w:t>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</w:tr>
    </w:tbl>
    <w:p w14:paraId="279DAD25" w14:textId="77777777" w:rsidR="00377E50" w:rsidRPr="006C7DCA" w:rsidRDefault="00377E50" w:rsidP="001E4DC5">
      <w:pPr>
        <w:spacing w:after="60"/>
        <w:rPr>
          <w:rFonts w:ascii="Times New Roman" w:hAnsi="Times New Roman" w:cs="Times New Roman"/>
          <w:sz w:val="16"/>
          <w:szCs w:val="16"/>
        </w:rPr>
      </w:pPr>
    </w:p>
    <w:sectPr w:rsidR="00377E50" w:rsidRPr="006C7DCA" w:rsidSect="00FF0FEE">
      <w:headerReference w:type="default" r:id="rId9"/>
      <w:footerReference w:type="default" r:id="rId10"/>
      <w:pgSz w:w="11906" w:h="16838"/>
      <w:pgMar w:top="1134" w:right="184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F66C" w14:textId="77777777" w:rsidR="00E83FFC" w:rsidRDefault="00E83FFC" w:rsidP="00B26375">
      <w:pPr>
        <w:spacing w:after="0" w:line="240" w:lineRule="auto"/>
      </w:pPr>
      <w:r>
        <w:separator/>
      </w:r>
    </w:p>
  </w:endnote>
  <w:endnote w:type="continuationSeparator" w:id="0">
    <w:p w14:paraId="1E884125" w14:textId="77777777" w:rsidR="00E83FFC" w:rsidRDefault="00E83FFC" w:rsidP="00B26375">
      <w:pPr>
        <w:spacing w:after="0" w:line="240" w:lineRule="auto"/>
      </w:pPr>
      <w:r>
        <w:continuationSeparator/>
      </w:r>
    </w:p>
  </w:endnote>
  <w:endnote w:type="continuationNotice" w:id="1">
    <w:p w14:paraId="36139702" w14:textId="77777777" w:rsidR="00E83FFC" w:rsidRDefault="00E83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Footer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7C6D" w14:textId="77777777" w:rsidR="00E83FFC" w:rsidRDefault="00E83FFC" w:rsidP="00B26375">
      <w:pPr>
        <w:spacing w:after="0" w:line="240" w:lineRule="auto"/>
      </w:pPr>
      <w:r>
        <w:separator/>
      </w:r>
    </w:p>
  </w:footnote>
  <w:footnote w:type="continuationSeparator" w:id="0">
    <w:p w14:paraId="7C01DDE7" w14:textId="77777777" w:rsidR="00E83FFC" w:rsidRDefault="00E83FFC" w:rsidP="00B26375">
      <w:pPr>
        <w:spacing w:after="0" w:line="240" w:lineRule="auto"/>
      </w:pPr>
      <w:r>
        <w:continuationSeparator/>
      </w:r>
    </w:p>
  </w:footnote>
  <w:footnote w:type="continuationNotice" w:id="1">
    <w:p w14:paraId="2CDBE8BC" w14:textId="77777777" w:rsidR="00E83FFC" w:rsidRDefault="00E83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AAD6" w14:textId="77777777" w:rsidR="006621FC" w:rsidRDefault="00662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01EF3"/>
    <w:rsid w:val="00025C0D"/>
    <w:rsid w:val="00045C43"/>
    <w:rsid w:val="00064DD7"/>
    <w:rsid w:val="000A3DB3"/>
    <w:rsid w:val="000A644E"/>
    <w:rsid w:val="000C0C1B"/>
    <w:rsid w:val="000E29E5"/>
    <w:rsid w:val="000F0280"/>
    <w:rsid w:val="000F03D7"/>
    <w:rsid w:val="000F0585"/>
    <w:rsid w:val="000F3A0F"/>
    <w:rsid w:val="00100F16"/>
    <w:rsid w:val="00102AB7"/>
    <w:rsid w:val="00111680"/>
    <w:rsid w:val="00123F32"/>
    <w:rsid w:val="001268F6"/>
    <w:rsid w:val="00164D00"/>
    <w:rsid w:val="00173DB7"/>
    <w:rsid w:val="00175474"/>
    <w:rsid w:val="0018664C"/>
    <w:rsid w:val="00196174"/>
    <w:rsid w:val="001E05D1"/>
    <w:rsid w:val="001E4DC5"/>
    <w:rsid w:val="001F3285"/>
    <w:rsid w:val="00211DB3"/>
    <w:rsid w:val="00221CCA"/>
    <w:rsid w:val="00223C87"/>
    <w:rsid w:val="00226FFA"/>
    <w:rsid w:val="0023594F"/>
    <w:rsid w:val="00245888"/>
    <w:rsid w:val="00266ED4"/>
    <w:rsid w:val="002674F4"/>
    <w:rsid w:val="0027231A"/>
    <w:rsid w:val="002A29C9"/>
    <w:rsid w:val="002A6044"/>
    <w:rsid w:val="002A67B7"/>
    <w:rsid w:val="002B37E6"/>
    <w:rsid w:val="002C2006"/>
    <w:rsid w:val="002C304E"/>
    <w:rsid w:val="002F2731"/>
    <w:rsid w:val="00305143"/>
    <w:rsid w:val="00323131"/>
    <w:rsid w:val="003357F2"/>
    <w:rsid w:val="0034527E"/>
    <w:rsid w:val="00351CCD"/>
    <w:rsid w:val="00356E49"/>
    <w:rsid w:val="00366769"/>
    <w:rsid w:val="00377E50"/>
    <w:rsid w:val="003A2164"/>
    <w:rsid w:val="003A7123"/>
    <w:rsid w:val="003B727D"/>
    <w:rsid w:val="003F3BCA"/>
    <w:rsid w:val="003F69ED"/>
    <w:rsid w:val="00411259"/>
    <w:rsid w:val="00414D6C"/>
    <w:rsid w:val="00473F81"/>
    <w:rsid w:val="00484AB0"/>
    <w:rsid w:val="0049324E"/>
    <w:rsid w:val="004A351D"/>
    <w:rsid w:val="004A5280"/>
    <w:rsid w:val="004B624B"/>
    <w:rsid w:val="004C0734"/>
    <w:rsid w:val="004C12BB"/>
    <w:rsid w:val="004C145A"/>
    <w:rsid w:val="004F7B67"/>
    <w:rsid w:val="0050380D"/>
    <w:rsid w:val="00511F4B"/>
    <w:rsid w:val="00522230"/>
    <w:rsid w:val="00527587"/>
    <w:rsid w:val="0054575B"/>
    <w:rsid w:val="0056731B"/>
    <w:rsid w:val="00582A84"/>
    <w:rsid w:val="00595E4B"/>
    <w:rsid w:val="00597AFB"/>
    <w:rsid w:val="005A4D6C"/>
    <w:rsid w:val="005A6884"/>
    <w:rsid w:val="006024B9"/>
    <w:rsid w:val="00611608"/>
    <w:rsid w:val="0061505E"/>
    <w:rsid w:val="00622DD4"/>
    <w:rsid w:val="006443BF"/>
    <w:rsid w:val="00657117"/>
    <w:rsid w:val="006621FC"/>
    <w:rsid w:val="006626A1"/>
    <w:rsid w:val="00663146"/>
    <w:rsid w:val="006674C4"/>
    <w:rsid w:val="00677FF9"/>
    <w:rsid w:val="00693D16"/>
    <w:rsid w:val="0069546C"/>
    <w:rsid w:val="006A4F6B"/>
    <w:rsid w:val="006B69CF"/>
    <w:rsid w:val="006C7DCA"/>
    <w:rsid w:val="006D5DED"/>
    <w:rsid w:val="006D7ED7"/>
    <w:rsid w:val="006E6501"/>
    <w:rsid w:val="006F21A1"/>
    <w:rsid w:val="00703FC4"/>
    <w:rsid w:val="0071009D"/>
    <w:rsid w:val="007156BB"/>
    <w:rsid w:val="00734C56"/>
    <w:rsid w:val="00743894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453E0"/>
    <w:rsid w:val="00861ACB"/>
    <w:rsid w:val="008721C7"/>
    <w:rsid w:val="00894944"/>
    <w:rsid w:val="008A68A7"/>
    <w:rsid w:val="008A795F"/>
    <w:rsid w:val="008E5D37"/>
    <w:rsid w:val="008F02BE"/>
    <w:rsid w:val="008F3FCD"/>
    <w:rsid w:val="008F4CF0"/>
    <w:rsid w:val="009155DE"/>
    <w:rsid w:val="009163EA"/>
    <w:rsid w:val="00926B67"/>
    <w:rsid w:val="009526D9"/>
    <w:rsid w:val="00962A44"/>
    <w:rsid w:val="00993873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51D63"/>
    <w:rsid w:val="00A57C72"/>
    <w:rsid w:val="00A6281F"/>
    <w:rsid w:val="00A70EB1"/>
    <w:rsid w:val="00A76332"/>
    <w:rsid w:val="00A81114"/>
    <w:rsid w:val="00A82C28"/>
    <w:rsid w:val="00A95AE5"/>
    <w:rsid w:val="00A96748"/>
    <w:rsid w:val="00AC3ECB"/>
    <w:rsid w:val="00B2492F"/>
    <w:rsid w:val="00B26375"/>
    <w:rsid w:val="00B407B4"/>
    <w:rsid w:val="00B40B0E"/>
    <w:rsid w:val="00B75973"/>
    <w:rsid w:val="00B97976"/>
    <w:rsid w:val="00BB532F"/>
    <w:rsid w:val="00BD15E3"/>
    <w:rsid w:val="00BD48C2"/>
    <w:rsid w:val="00BE08B9"/>
    <w:rsid w:val="00C03BF3"/>
    <w:rsid w:val="00C126F2"/>
    <w:rsid w:val="00C22AD7"/>
    <w:rsid w:val="00C241D0"/>
    <w:rsid w:val="00C428DA"/>
    <w:rsid w:val="00C703FC"/>
    <w:rsid w:val="00C76D29"/>
    <w:rsid w:val="00C77A94"/>
    <w:rsid w:val="00C85132"/>
    <w:rsid w:val="00C90C6A"/>
    <w:rsid w:val="00CC099B"/>
    <w:rsid w:val="00D1195A"/>
    <w:rsid w:val="00D127C9"/>
    <w:rsid w:val="00D12D42"/>
    <w:rsid w:val="00D20250"/>
    <w:rsid w:val="00D24F2D"/>
    <w:rsid w:val="00D2531D"/>
    <w:rsid w:val="00D354F3"/>
    <w:rsid w:val="00D70387"/>
    <w:rsid w:val="00D754A1"/>
    <w:rsid w:val="00D858F9"/>
    <w:rsid w:val="00DA006F"/>
    <w:rsid w:val="00DB4FB7"/>
    <w:rsid w:val="00DC305E"/>
    <w:rsid w:val="00DC4486"/>
    <w:rsid w:val="00DC5AE1"/>
    <w:rsid w:val="00DE0228"/>
    <w:rsid w:val="00DF0D2E"/>
    <w:rsid w:val="00DF4022"/>
    <w:rsid w:val="00E0269B"/>
    <w:rsid w:val="00E105B7"/>
    <w:rsid w:val="00E345CC"/>
    <w:rsid w:val="00E66630"/>
    <w:rsid w:val="00E83FFC"/>
    <w:rsid w:val="00E9201A"/>
    <w:rsid w:val="00E966DE"/>
    <w:rsid w:val="00EA5747"/>
    <w:rsid w:val="00EB34F8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6733"/>
    <w:rsid w:val="00F671ED"/>
    <w:rsid w:val="00F70BF6"/>
    <w:rsid w:val="00F76632"/>
    <w:rsid w:val="00F8137E"/>
    <w:rsid w:val="00F971BE"/>
    <w:rsid w:val="00FB1B19"/>
    <w:rsid w:val="00FB3AC1"/>
    <w:rsid w:val="00FC051B"/>
    <w:rsid w:val="00FD1C7F"/>
    <w:rsid w:val="00FE2220"/>
    <w:rsid w:val="00FE5BF8"/>
    <w:rsid w:val="00FF05DE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DefaultParagraphFont"/>
    <w:rsid w:val="009F545E"/>
    <w:rPr>
      <w:rFonts w:ascii="Helvetica" w:hAnsi="Helvetica" w:hint="default"/>
      <w:color w:val="333333"/>
      <w:sz w:val="18"/>
      <w:szCs w:val="18"/>
    </w:rPr>
  </w:style>
  <w:style w:type="paragraph" w:styleId="NoSpacing">
    <w:name w:val="No Spacing"/>
    <w:link w:val="NoSpacingChar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69546C"/>
    <w:rPr>
      <w:rFonts w:eastAsiaTheme="minorEastAsia"/>
      <w:lang w:eastAsia="ru-RU"/>
    </w:rPr>
  </w:style>
  <w:style w:type="character" w:styleId="Emphasis">
    <w:name w:val="Emphasis"/>
    <w:basedOn w:val="DefaultParagraphFont"/>
    <w:uiPriority w:val="20"/>
    <w:qFormat/>
    <w:rsid w:val="008F4CF0"/>
    <w:rPr>
      <w:i/>
      <w:iCs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ListParagraphChar">
    <w:name w:val="List Paragraph Char"/>
    <w:aliases w:val="Абзац Char"/>
    <w:link w:val="ListParagraph"/>
    <w:uiPriority w:val="34"/>
    <w:locked/>
    <w:rsid w:val="00703FC4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100F16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DefaultParagraphFont"/>
    <w:rsid w:val="00BD48C2"/>
  </w:style>
  <w:style w:type="character" w:styleId="Strong">
    <w:name w:val="Strong"/>
    <w:basedOn w:val="DefaultParagraphFont"/>
    <w:uiPriority w:val="22"/>
    <w:qFormat/>
    <w:rsid w:val="00266ED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Normal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0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F6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75973"/>
  </w:style>
  <w:style w:type="table" w:customStyle="1" w:styleId="1">
    <w:name w:val="Сетка таблицы1"/>
    <w:basedOn w:val="TableNormal"/>
    <w:next w:val="TableGrid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75"/>
    <w:rPr>
      <w:rFonts w:eastAsia="MS Mincho"/>
    </w:rPr>
  </w:style>
  <w:style w:type="paragraph" w:styleId="Revision">
    <w:name w:val="Revision"/>
    <w:hidden/>
    <w:uiPriority w:val="99"/>
    <w:semiHidden/>
    <w:rsid w:val="002B37E6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okenergo@kazminer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stokenergo@kazminer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Anel Omirbay</cp:lastModifiedBy>
  <cp:revision>2</cp:revision>
  <cp:lastPrinted>2023-03-28T03:13:00Z</cp:lastPrinted>
  <dcterms:created xsi:type="dcterms:W3CDTF">2023-12-06T10:25:00Z</dcterms:created>
  <dcterms:modified xsi:type="dcterms:W3CDTF">2023-12-06T10:25:00Z</dcterms:modified>
</cp:coreProperties>
</file>