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6C7DCA" w:rsidRPr="006A4F6B" w14:paraId="5BAA81CF" w14:textId="77777777" w:rsidTr="00DC6DD5">
        <w:trPr>
          <w:trHeight w:val="269"/>
        </w:trPr>
        <w:tc>
          <w:tcPr>
            <w:tcW w:w="9493" w:type="dxa"/>
            <w:gridSpan w:val="2"/>
          </w:tcPr>
          <w:p w14:paraId="7C90D78F" w14:textId="130BEB86" w:rsidR="006C7DCA" w:rsidRPr="006A4F6B" w:rsidRDefault="00175474" w:rsidP="00175474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</w:pP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Приложение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№ 1 / № 1 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</w:p>
        </w:tc>
      </w:tr>
      <w:tr w:rsidR="00FF0FEE" w:rsidRPr="006A4F6B" w14:paraId="0098B4BD" w14:textId="77777777" w:rsidTr="00FF0FEE">
        <w:trPr>
          <w:trHeight w:val="269"/>
        </w:trPr>
        <w:tc>
          <w:tcPr>
            <w:tcW w:w="4672" w:type="dxa"/>
          </w:tcPr>
          <w:p w14:paraId="40A5A593" w14:textId="77777777" w:rsidR="00FF0FEE" w:rsidRPr="006A4F6B" w:rsidRDefault="00FF0FEE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ИНСТРУКЦИЯ ПО ВЫСТАВЛЕНИЮ СЧЕТОВ</w:t>
            </w:r>
          </w:p>
        </w:tc>
        <w:tc>
          <w:tcPr>
            <w:tcW w:w="4821" w:type="dxa"/>
          </w:tcPr>
          <w:p w14:paraId="2DCDC25C" w14:textId="77777777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ШОТ ҰСЫНУ ТУРАЛЫ НҰСҚАУЛЫҚ </w:t>
            </w:r>
          </w:p>
        </w:tc>
      </w:tr>
      <w:tr w:rsidR="00FF0FEE" w:rsidRPr="006443BF" w14:paraId="16835B83" w14:textId="77777777" w:rsidTr="00FF0FEE">
        <w:tc>
          <w:tcPr>
            <w:tcW w:w="4672" w:type="dxa"/>
          </w:tcPr>
          <w:p w14:paraId="7D5A5BD2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Адрес, куда направляются счета</w:t>
            </w:r>
          </w:p>
        </w:tc>
        <w:tc>
          <w:tcPr>
            <w:tcW w:w="4821" w:type="dxa"/>
          </w:tcPr>
          <w:p w14:paraId="0E818B18" w14:textId="76DA765C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Шоттар жөнелтілетін мекенжай</w:t>
            </w:r>
          </w:p>
        </w:tc>
      </w:tr>
      <w:tr w:rsidR="00FF0FEE" w:rsidRPr="006443BF" w14:paraId="0AD42D77" w14:textId="77777777" w:rsidTr="00FF0FEE">
        <w:tc>
          <w:tcPr>
            <w:tcW w:w="4672" w:type="dxa"/>
          </w:tcPr>
          <w:p w14:paraId="485A77D9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51B48FB4" w14:textId="77777777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F0FEE" w:rsidRPr="006443BF" w14:paraId="57E5F580" w14:textId="77777777" w:rsidTr="00FF0FEE">
        <w:tc>
          <w:tcPr>
            <w:tcW w:w="4672" w:type="dxa"/>
          </w:tcPr>
          <w:p w14:paraId="08E0F0FF" w14:textId="6DAFC930" w:rsidR="00FF0FEE" w:rsidRPr="00C241D0" w:rsidRDefault="00FF0FEE" w:rsidP="002C200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Все счета, счета-фактуры, инвойсы направляются по следующему адресу:</w:t>
            </w:r>
          </w:p>
        </w:tc>
        <w:tc>
          <w:tcPr>
            <w:tcW w:w="4821" w:type="dxa"/>
          </w:tcPr>
          <w:p w14:paraId="388A140B" w14:textId="269FAD6F" w:rsidR="00FF0FEE" w:rsidRPr="00C241D0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Барлық шот, шот-фактура, инвойс мына мекенжай бойынша жіберіледі:</w:t>
            </w:r>
          </w:p>
        </w:tc>
      </w:tr>
      <w:tr w:rsidR="00FF0FEE" w:rsidRPr="006443BF" w14:paraId="22075892" w14:textId="77777777" w:rsidTr="00FF0FEE">
        <w:tc>
          <w:tcPr>
            <w:tcW w:w="4672" w:type="dxa"/>
          </w:tcPr>
          <w:p w14:paraId="2C0805BE" w14:textId="77777777" w:rsidR="00FF0FEE" w:rsidRPr="00FF0FEE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FF0FEE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821" w:type="dxa"/>
          </w:tcPr>
          <w:p w14:paraId="4AD1267C" w14:textId="77777777" w:rsidR="00FF0FEE" w:rsidRPr="00FF0FEE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F0FEE" w:rsidRPr="006443BF" w14:paraId="790A5E3B" w14:textId="77777777" w:rsidTr="00FF0FEE">
        <w:tc>
          <w:tcPr>
            <w:tcW w:w="4672" w:type="dxa"/>
          </w:tcPr>
          <w:p w14:paraId="0EDD8E04" w14:textId="477E71CD" w:rsidR="00FF0FEE" w:rsidRPr="00FF0FEE" w:rsidRDefault="00E9201A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 «Востокэнерго»</w:t>
            </w:r>
          </w:p>
        </w:tc>
        <w:tc>
          <w:tcPr>
            <w:tcW w:w="4821" w:type="dxa"/>
          </w:tcPr>
          <w:p w14:paraId="649DF309" w14:textId="742A6A42" w:rsidR="00FF0FEE" w:rsidRPr="00FF0FEE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</w:pPr>
            <w:r w:rsidRPr="00FF0FEE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«</w:t>
            </w:r>
            <w:r w:rsidR="00E9201A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Востокэнерго»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</w:tc>
      </w:tr>
      <w:tr w:rsidR="00FF0FEE" w:rsidRPr="006443BF" w14:paraId="21F95C97" w14:textId="77777777" w:rsidTr="00FF0FEE">
        <w:tc>
          <w:tcPr>
            <w:tcW w:w="4672" w:type="dxa"/>
          </w:tcPr>
          <w:p w14:paraId="1DCDF5D9" w14:textId="77777777" w:rsidR="00FF0FEE" w:rsidRPr="00FF0FEE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</w:tcPr>
          <w:p w14:paraId="015D356A" w14:textId="77777777" w:rsidR="00FF0FEE" w:rsidRPr="00FF0FEE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F0FEE" w:rsidRPr="006443BF" w14:paraId="458C1819" w14:textId="77777777" w:rsidTr="000C6CEA">
        <w:trPr>
          <w:trHeight w:val="589"/>
        </w:trPr>
        <w:tc>
          <w:tcPr>
            <w:tcW w:w="4672" w:type="dxa"/>
          </w:tcPr>
          <w:p w14:paraId="7661D336" w14:textId="431EFB52" w:rsidR="00FF0FEE" w:rsidRPr="008F3FCD" w:rsidRDefault="00DE0228" w:rsidP="000C6CEA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kk-KZ"/>
              </w:rPr>
            </w:pP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Р</w:t>
            </w:r>
            <w:r w:rsidR="005A4D6C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еспублика 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К</w:t>
            </w:r>
            <w:r w:rsidR="005A4D6C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азахстан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r w:rsidR="00A96748" w:rsidRP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Восточно-Казахстанская область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, г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ород 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Усть-Каменогорск, ул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ица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 Казахстан, д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ом 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81/2, 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почтовый </w:t>
            </w:r>
            <w:r w:rsidR="008F3FCD"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индекс </w:t>
            </w:r>
            <w:r w:rsidR="008F3FCD" w:rsidRPr="008F3FCD">
              <w:rPr>
                <w:rFonts w:ascii="Times New Roman" w:hAnsi="Times New Roman" w:cs="Times New Roman"/>
                <w:sz w:val="16"/>
                <w:szCs w:val="16"/>
              </w:rPr>
              <w:t>07001</w:t>
            </w:r>
            <w:r w:rsidR="003A216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21" w:type="dxa"/>
          </w:tcPr>
          <w:p w14:paraId="21F0ADF6" w14:textId="5D40E53C" w:rsidR="00FF0FEE" w:rsidRPr="008F3FCD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Қазақстан Республикасы, </w:t>
            </w:r>
            <w:r w:rsidR="00DC4486" w:rsidRPr="00DC4486">
              <w:rPr>
                <w:rFonts w:ascii="Times New Roman" w:eastAsiaTheme="minorHAnsi" w:hAnsi="Times New Roman" w:cs="Times New Roman"/>
                <w:sz w:val="16"/>
                <w:szCs w:val="16"/>
              </w:rPr>
              <w:t>Шығыс Қазақстан облысы</w:t>
            </w:r>
            <w:r w:rsidR="00DC4486">
              <w:rPr>
                <w:rFonts w:ascii="Times New Roman" w:eastAsiaTheme="minorHAnsi" w:hAnsi="Times New Roman" w:cs="Times New Roman"/>
                <w:sz w:val="16"/>
                <w:szCs w:val="16"/>
              </w:rPr>
              <w:t>,</w:t>
            </w:r>
            <w:r w:rsidR="00DC4486" w:rsidRPr="00DC4486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="00F971BE" w:rsidRPr="008F3FCD"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kk-KZ"/>
              </w:rPr>
              <w:t>Өскемен</w:t>
            </w:r>
            <w:r w:rsidR="00F971BE"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қаласы, </w:t>
            </w:r>
            <w:r w:rsidR="00993873" w:rsidRPr="008F3FCD"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kk-KZ"/>
              </w:rPr>
              <w:t>Қазақстан көшесі, 81/2 үй</w:t>
            </w:r>
            <w:r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индекс </w:t>
            </w:r>
            <w:r w:rsidR="008F3FCD" w:rsidRPr="008F3FCD">
              <w:rPr>
                <w:rFonts w:ascii="Times New Roman" w:hAnsi="Times New Roman" w:cs="Times New Roman"/>
                <w:sz w:val="16"/>
                <w:szCs w:val="16"/>
              </w:rPr>
              <w:t>070019</w:t>
            </w:r>
          </w:p>
        </w:tc>
      </w:tr>
      <w:tr w:rsidR="00FF0FEE" w:rsidRPr="006443BF" w14:paraId="7609EDCF" w14:textId="77777777" w:rsidTr="000C6CEA">
        <w:trPr>
          <w:trHeight w:val="459"/>
        </w:trPr>
        <w:tc>
          <w:tcPr>
            <w:tcW w:w="4672" w:type="dxa"/>
          </w:tcPr>
          <w:p w14:paraId="2FBE3E81" w14:textId="77777777" w:rsidR="00E9201A" w:rsidRPr="000C6CEA" w:rsidRDefault="00FF0FEE" w:rsidP="001E4DC5">
            <w:pPr>
              <w:spacing w:after="60" w:line="200" w:lineRule="exact"/>
              <w:rPr>
                <w:rFonts w:ascii="Times New Roman" w:hAnsi="Times New Roman"/>
                <w:b/>
                <w:sz w:val="16"/>
              </w:rPr>
            </w:pPr>
            <w:r w:rsidRPr="000C6CEA">
              <w:rPr>
                <w:rFonts w:ascii="Times New Roman" w:hAnsi="Times New Roman"/>
                <w:b/>
                <w:sz w:val="16"/>
              </w:rPr>
              <w:t xml:space="preserve">ТОО </w:t>
            </w:r>
            <w:r w:rsidR="00E9201A" w:rsidRPr="000C6CEA">
              <w:rPr>
                <w:rFonts w:ascii="Times New Roman" w:hAnsi="Times New Roman"/>
                <w:b/>
                <w:sz w:val="16"/>
              </w:rPr>
              <w:t>«Востокэнерго»</w:t>
            </w:r>
          </w:p>
          <w:p w14:paraId="7328DF7A" w14:textId="71B3AF9D" w:rsidR="00FF0FEE" w:rsidRPr="008F3FCD" w:rsidRDefault="00372867" w:rsidP="001E4DC5">
            <w:pPr>
              <w:spacing w:after="60" w:line="200" w:lineRule="exact"/>
              <w:rPr>
                <w:rStyle w:val="Hyperlink"/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7" w:history="1">
              <w:r w:rsidR="003A2164" w:rsidRPr="00917AD4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vostokenergo@kazminerals.com</w:t>
              </w:r>
            </w:hyperlink>
            <w:r w:rsidR="003A21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55BDD" w14:textId="77777777" w:rsidR="00FF0FEE" w:rsidRPr="008F3FCD" w:rsidRDefault="00FF0FEE" w:rsidP="00E9201A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</w:tcPr>
          <w:p w14:paraId="0CDAA048" w14:textId="2485DE93" w:rsidR="00FF0FEE" w:rsidRPr="000C6CEA" w:rsidRDefault="00E9201A" w:rsidP="002C2006">
            <w:pPr>
              <w:spacing w:after="60" w:line="200" w:lineRule="exact"/>
              <w:rPr>
                <w:rFonts w:ascii="Times New Roman" w:hAnsi="Times New Roman"/>
                <w:b/>
                <w:sz w:val="16"/>
              </w:rPr>
            </w:pPr>
            <w:r w:rsidRPr="000C6CEA">
              <w:rPr>
                <w:rFonts w:ascii="Times New Roman" w:hAnsi="Times New Roman"/>
                <w:b/>
                <w:sz w:val="16"/>
              </w:rPr>
              <w:t xml:space="preserve">«Востокэнерго» </w:t>
            </w:r>
            <w:r w:rsidR="00FF0FEE" w:rsidRPr="000C6CEA">
              <w:rPr>
                <w:rFonts w:ascii="Times New Roman" w:hAnsi="Times New Roman"/>
                <w:b/>
                <w:sz w:val="16"/>
              </w:rPr>
              <w:t>ЖШС</w:t>
            </w:r>
          </w:p>
          <w:p w14:paraId="50C44CAB" w14:textId="0A05C3F8" w:rsidR="00FF0FEE" w:rsidRPr="008F3FCD" w:rsidRDefault="00372867" w:rsidP="002C2006">
            <w:pPr>
              <w:spacing w:after="60" w:line="200" w:lineRule="exact"/>
              <w:rPr>
                <w:rStyle w:val="Hyperlink"/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8" w:history="1">
              <w:r w:rsidR="003A2164" w:rsidRPr="00917AD4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vostokenergo@kazminerals.com</w:t>
              </w:r>
            </w:hyperlink>
            <w:r w:rsidR="003A21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21EC86" w14:textId="7EAE0785" w:rsidR="00FF0FEE" w:rsidRPr="008F3FCD" w:rsidRDefault="00FF0FEE" w:rsidP="00E9201A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F0FEE" w:rsidRPr="006A4F6B" w14:paraId="7A128D4C" w14:textId="77777777" w:rsidTr="00FF0FEE">
        <w:tc>
          <w:tcPr>
            <w:tcW w:w="4672" w:type="dxa"/>
          </w:tcPr>
          <w:p w14:paraId="75F5273D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Вниманию: Финансового департамента</w:t>
            </w:r>
          </w:p>
        </w:tc>
        <w:tc>
          <w:tcPr>
            <w:tcW w:w="4821" w:type="dxa"/>
          </w:tcPr>
          <w:p w14:paraId="58EF57E7" w14:textId="77777777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Кімнің назарына: Қаржы департаменті</w:t>
            </w:r>
          </w:p>
        </w:tc>
      </w:tr>
      <w:tr w:rsidR="00FF0FEE" w:rsidRPr="006A4F6B" w14:paraId="28E896BC" w14:textId="77777777" w:rsidTr="00FF0FEE">
        <w:tc>
          <w:tcPr>
            <w:tcW w:w="4672" w:type="dxa"/>
          </w:tcPr>
          <w:p w14:paraId="34C3916C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Условия</w:t>
            </w:r>
          </w:p>
        </w:tc>
        <w:tc>
          <w:tcPr>
            <w:tcW w:w="4821" w:type="dxa"/>
          </w:tcPr>
          <w:p w14:paraId="4DAEBCF7" w14:textId="77777777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Шарттар</w:t>
            </w:r>
          </w:p>
        </w:tc>
      </w:tr>
      <w:tr w:rsidR="00FF0FEE" w:rsidRPr="006443BF" w14:paraId="2D292E2F" w14:textId="77777777" w:rsidTr="00FF0FEE">
        <w:tc>
          <w:tcPr>
            <w:tcW w:w="4672" w:type="dxa"/>
          </w:tcPr>
          <w:p w14:paraId="7DEB749F" w14:textId="77777777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Невыполнение или неточное соблюдение любого из указанных ниже условий будет считаться достаточным основанием для задержки оплаты и/или возвращения счёта Подрядчику.</w:t>
            </w:r>
          </w:p>
        </w:tc>
        <w:tc>
          <w:tcPr>
            <w:tcW w:w="4821" w:type="dxa"/>
          </w:tcPr>
          <w:p w14:paraId="4CE5FF28" w14:textId="77777777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Төменде көрсетілген кез келген талаптарды орындамау немесе дәл ұстанбау төлемді кешеуілдетуге және/немесе Мердігерге шотты қайтарып беруге жеткілікті негіз болып есептеледі. </w:t>
            </w:r>
          </w:p>
        </w:tc>
      </w:tr>
      <w:tr w:rsidR="00FF0FEE" w:rsidRPr="006A4F6B" w14:paraId="1F42411A" w14:textId="77777777" w:rsidTr="00FF0FEE">
        <w:tc>
          <w:tcPr>
            <w:tcW w:w="4672" w:type="dxa"/>
          </w:tcPr>
          <w:p w14:paraId="1FDD88C8" w14:textId="3EDB2B86" w:rsidR="00FF0FEE" w:rsidRPr="00C241D0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Общие положения:</w:t>
            </w:r>
          </w:p>
        </w:tc>
        <w:tc>
          <w:tcPr>
            <w:tcW w:w="4821" w:type="dxa"/>
          </w:tcPr>
          <w:p w14:paraId="10D533FB" w14:textId="77777777" w:rsidR="00FF0FEE" w:rsidRPr="00C241D0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Жалпы ережелер: </w:t>
            </w:r>
          </w:p>
        </w:tc>
      </w:tr>
      <w:tr w:rsidR="00FF0FEE" w:rsidRPr="006443BF" w14:paraId="3875F50D" w14:textId="77777777" w:rsidTr="00FF0FEE">
        <w:tc>
          <w:tcPr>
            <w:tcW w:w="4672" w:type="dxa"/>
          </w:tcPr>
          <w:p w14:paraId="5D1A5DA0" w14:textId="02E2D1D2" w:rsidR="00FF0FEE" w:rsidRPr="00C241D0" w:rsidRDefault="00FF0FEE" w:rsidP="000C6CEA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Наименование, адрес и банковские реквизиты Подрядчика </w:t>
            </w:r>
            <w:r w:rsidRPr="000C6CEA">
              <w:rPr>
                <w:rFonts w:ascii="Times New Roman" w:hAnsi="Times New Roman" w:cs="Times New Roman"/>
                <w:sz w:val="16"/>
                <w:szCs w:val="16"/>
              </w:rPr>
              <w:t>должны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соответствовать реквизитам, указанным в Договоре.</w:t>
            </w:r>
          </w:p>
        </w:tc>
        <w:tc>
          <w:tcPr>
            <w:tcW w:w="4821" w:type="dxa"/>
          </w:tcPr>
          <w:p w14:paraId="632C36CC" w14:textId="015F5575" w:rsidR="00FF0FEE" w:rsidRPr="00C241D0" w:rsidRDefault="00FF0FEE" w:rsidP="00A32A76">
            <w:pPr>
              <w:pStyle w:val="ListParagraph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</w:rPr>
              <w:t>Мердігердің атауы, мекенжайы және банктік деректемелері Шартта көрсетілген деректемелерге сәйкес келуі керек.</w:t>
            </w:r>
          </w:p>
        </w:tc>
      </w:tr>
      <w:tr w:rsidR="00FF0FEE" w:rsidRPr="006443BF" w14:paraId="27F0AA5D" w14:textId="77777777" w:rsidTr="00FF0FEE">
        <w:tc>
          <w:tcPr>
            <w:tcW w:w="4672" w:type="dxa"/>
          </w:tcPr>
          <w:p w14:paraId="2046D19C" w14:textId="177B5646" w:rsidR="00FF0FEE" w:rsidRPr="00C241D0" w:rsidRDefault="00FF0FEE" w:rsidP="000C6CEA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 электронно</w:t>
            </w:r>
            <w:r w:rsidR="002A6044">
              <w:rPr>
                <w:rFonts w:ascii="Times New Roman" w:eastAsiaTheme="minorHAnsi" w:hAnsi="Times New Roman" w:cs="Times New Roman"/>
                <w:sz w:val="16"/>
                <w:szCs w:val="16"/>
              </w:rPr>
              <w:t>м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счёте-фактуре (инвойсе) обязательно должны быть указаны:</w:t>
            </w:r>
          </w:p>
        </w:tc>
        <w:tc>
          <w:tcPr>
            <w:tcW w:w="4821" w:type="dxa"/>
          </w:tcPr>
          <w:p w14:paraId="57E41800" w14:textId="6A6B055E" w:rsidR="00FF0FEE" w:rsidRPr="00C241D0" w:rsidRDefault="00FF0FEE" w:rsidP="000C6CEA">
            <w:pPr>
              <w:pStyle w:val="ListParagraph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</w:rPr>
              <w:t xml:space="preserve">Электрондық шот-фактурада </w:t>
            </w:r>
            <w:r w:rsidR="00514D9B" w:rsidRPr="00514D9B">
              <w:rPr>
                <w:rFonts w:cs="Times New Roman"/>
                <w:sz w:val="16"/>
                <w:szCs w:val="16"/>
              </w:rPr>
              <w:t xml:space="preserve">(инвойста) </w:t>
            </w:r>
            <w:r w:rsidRPr="00C241D0">
              <w:rPr>
                <w:rFonts w:cs="Times New Roman"/>
                <w:sz w:val="16"/>
                <w:szCs w:val="16"/>
              </w:rPr>
              <w:t xml:space="preserve">мыналар </w:t>
            </w:r>
            <w:r w:rsidR="00296469">
              <w:rPr>
                <w:rFonts w:cs="Times New Roman"/>
                <w:sz w:val="16"/>
                <w:szCs w:val="16"/>
                <w:lang w:val="kk-KZ"/>
              </w:rPr>
              <w:t xml:space="preserve">міндетті түрде </w:t>
            </w:r>
            <w:r w:rsidRPr="00C241D0">
              <w:rPr>
                <w:rFonts w:cs="Times New Roman"/>
                <w:sz w:val="16"/>
                <w:szCs w:val="16"/>
              </w:rPr>
              <w:t>көрсетілуі керек:</w:t>
            </w:r>
          </w:p>
        </w:tc>
      </w:tr>
      <w:tr w:rsidR="00FF0FEE" w:rsidRPr="006443BF" w14:paraId="067CF412" w14:textId="77777777" w:rsidTr="00FF0FEE">
        <w:tc>
          <w:tcPr>
            <w:tcW w:w="4672" w:type="dxa"/>
          </w:tcPr>
          <w:p w14:paraId="56C47F2F" w14:textId="14A0F7F9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счёта-фактуры (инвойса) учетной системы поставщика (номер не должен повторяться);</w:t>
            </w:r>
          </w:p>
        </w:tc>
        <w:tc>
          <w:tcPr>
            <w:tcW w:w="4821" w:type="dxa"/>
          </w:tcPr>
          <w:p w14:paraId="4B502044" w14:textId="75FDAEF4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жеткізушінің есепке алу жүйесіндегі шот-фактураның (</w:t>
            </w:r>
            <w:r w:rsidR="006C1E24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инвойс</w:t>
            </w:r>
            <w:r w:rsidR="006C1E24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тың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) нөмірі (нөмір қайталанбауы керек);</w:t>
            </w:r>
          </w:p>
        </w:tc>
      </w:tr>
      <w:tr w:rsidR="00FF0FEE" w:rsidRPr="006A4F6B" w14:paraId="62FBF74C" w14:textId="77777777" w:rsidTr="00FF0FEE">
        <w:tc>
          <w:tcPr>
            <w:tcW w:w="4672" w:type="dxa"/>
          </w:tcPr>
          <w:p w14:paraId="02AC0513" w14:textId="334720D9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дата счёта-фактуры (инвойса);</w:t>
            </w:r>
          </w:p>
        </w:tc>
        <w:tc>
          <w:tcPr>
            <w:tcW w:w="4821" w:type="dxa"/>
          </w:tcPr>
          <w:p w14:paraId="1C4B55AA" w14:textId="27B7F395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 (инвойс) ұсынылған күн;</w:t>
            </w:r>
          </w:p>
        </w:tc>
      </w:tr>
      <w:tr w:rsidR="00FF0FEE" w:rsidRPr="006443BF" w14:paraId="67FECCF6" w14:textId="77777777" w:rsidTr="00FF0FEE">
        <w:tc>
          <w:tcPr>
            <w:tcW w:w="4672" w:type="dxa"/>
          </w:tcPr>
          <w:p w14:paraId="774B09E7" w14:textId="6B3BA1FB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валюта счёта-фактуры (инвойса), соответствующая валюте Договора;</w:t>
            </w:r>
          </w:p>
        </w:tc>
        <w:tc>
          <w:tcPr>
            <w:tcW w:w="4821" w:type="dxa"/>
          </w:tcPr>
          <w:p w14:paraId="14C7E752" w14:textId="0BB39C86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шот-фактураның (инвойстың) Шарттың валютасына сәйкес келетін валютасы;</w:t>
            </w:r>
          </w:p>
        </w:tc>
      </w:tr>
      <w:tr w:rsidR="00FF0FEE" w:rsidRPr="006443BF" w14:paraId="03ECB1D5" w14:textId="77777777" w:rsidTr="00FF0FEE">
        <w:tc>
          <w:tcPr>
            <w:tcW w:w="4672" w:type="dxa"/>
          </w:tcPr>
          <w:p w14:paraId="3509D874" w14:textId="728A5CB5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Договора, номер и дата Заказа на поставку</w:t>
            </w:r>
            <w:r w:rsidR="007100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55C1A0DF" w14:textId="201F3D4D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Шарттың нөмірі мен күні, жеткізуге арналған Тапсырыстың нөмірі мен күні</w:t>
            </w:r>
            <w:r w:rsidR="0071009D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.</w:t>
            </w:r>
          </w:p>
        </w:tc>
      </w:tr>
      <w:tr w:rsidR="00FF0FEE" w:rsidRPr="006A4F6B" w14:paraId="79D72D91" w14:textId="77777777" w:rsidTr="00FF0FEE">
        <w:tc>
          <w:tcPr>
            <w:tcW w:w="4672" w:type="dxa"/>
          </w:tcPr>
          <w:p w14:paraId="2A6EF3CD" w14:textId="71A98B13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Дополнительные положения:</w:t>
            </w:r>
          </w:p>
        </w:tc>
        <w:tc>
          <w:tcPr>
            <w:tcW w:w="4821" w:type="dxa"/>
          </w:tcPr>
          <w:p w14:paraId="7D8BC2E4" w14:textId="77777777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Қосымша ережелер: </w:t>
            </w:r>
          </w:p>
        </w:tc>
      </w:tr>
      <w:tr w:rsidR="00FF0FEE" w:rsidRPr="006443BF" w14:paraId="1DA8B072" w14:textId="77777777" w:rsidTr="00FF0FEE">
        <w:tc>
          <w:tcPr>
            <w:tcW w:w="4672" w:type="dxa"/>
          </w:tcPr>
          <w:p w14:paraId="4EFC07E4" w14:textId="4E74EFD2" w:rsidR="00FF0FEE" w:rsidRPr="00C241D0" w:rsidRDefault="00FF0FEE" w:rsidP="000C6CEA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C6CEA">
              <w:rPr>
                <w:rFonts w:ascii="Times New Roman" w:hAnsi="Times New Roman" w:cs="Times New Roman"/>
                <w:sz w:val="16"/>
                <w:szCs w:val="16"/>
              </w:rPr>
              <w:t>Каждая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из позиций в электронном счёте-фактуре (инвойсе) должна содержать ссылку на соответствующую часть Договора.</w:t>
            </w:r>
          </w:p>
        </w:tc>
        <w:tc>
          <w:tcPr>
            <w:tcW w:w="4821" w:type="dxa"/>
          </w:tcPr>
          <w:p w14:paraId="35C7852E" w14:textId="2C0DDC8A" w:rsidR="00FF0FEE" w:rsidRPr="00C241D0" w:rsidRDefault="00FF0FEE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Электрондық шот-фактураның (инвойстың) </w:t>
            </w:r>
            <w:r w:rsidR="00141078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әрқайсысында</w:t>
            </w:r>
            <w:r w:rsidR="00141078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ғы позицияда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Шарттың тиісті бөлігіне сілтеме берілуі керек.</w:t>
            </w:r>
          </w:p>
        </w:tc>
      </w:tr>
      <w:tr w:rsidR="00FF0FEE" w:rsidRPr="00FF0FEE" w14:paraId="298BCA31" w14:textId="77777777" w:rsidTr="00FF0FEE">
        <w:tc>
          <w:tcPr>
            <w:tcW w:w="4672" w:type="dxa"/>
          </w:tcPr>
          <w:p w14:paraId="6B85C58D" w14:textId="3C860F26" w:rsidR="00FF0FEE" w:rsidRPr="00C241D0" w:rsidRDefault="00FF0FEE" w:rsidP="000C6CEA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счёт-фактура, выставляется на портале esf.gov.kz после письменного согласования Акта выполненных работ представителями </w:t>
            </w:r>
            <w:r w:rsidR="00E9201A">
              <w:rPr>
                <w:rFonts w:ascii="Times New Roman" w:hAnsi="Times New Roman" w:cs="Times New Roman"/>
                <w:sz w:val="16"/>
                <w:szCs w:val="16"/>
              </w:rPr>
              <w:t>ТОО «Востокэнерго»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(не применимо, если Подрядчиком по Договору Подряда является нерезидент Республики Казахстан).</w:t>
            </w:r>
          </w:p>
        </w:tc>
        <w:tc>
          <w:tcPr>
            <w:tcW w:w="4821" w:type="dxa"/>
          </w:tcPr>
          <w:p w14:paraId="05F89EA6" w14:textId="0E75321E" w:rsidR="00FF0FEE" w:rsidRPr="00C241D0" w:rsidRDefault="002B37E6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2B37E6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«Востокэнерго» ЖШС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F0FE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өкілдері Орындалған жұмыстар актісін жазбаша түрде келісімге алғаннан кейін esf.gov.kz порталына электрондық шот-фактура ұсынылады (егер Мердігерлік шарт бойынша Мердігер Қазақстан Республикасының резиденті болмаса, қолданылмайды).</w:t>
            </w:r>
          </w:p>
        </w:tc>
      </w:tr>
      <w:tr w:rsidR="00FF0FEE" w:rsidRPr="00FF0FEE" w14:paraId="54D3BFAC" w14:textId="77777777" w:rsidTr="00FF0FEE">
        <w:tc>
          <w:tcPr>
            <w:tcW w:w="4672" w:type="dxa"/>
          </w:tcPr>
          <w:p w14:paraId="72D89416" w14:textId="411058A1" w:rsidR="00FF0FEE" w:rsidRPr="00C241D0" w:rsidRDefault="00FF0FEE" w:rsidP="000C6CEA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Инвойс (если Подрядчиком по Договору Подряда является </w:t>
            </w:r>
            <w:r w:rsidRPr="000C6CEA">
              <w:rPr>
                <w:rFonts w:ascii="Times New Roman" w:eastAsiaTheme="minorHAnsi" w:hAnsi="Times New Roman" w:cs="Times New Roman"/>
                <w:sz w:val="16"/>
                <w:szCs w:val="16"/>
              </w:rPr>
              <w:t>нерезидент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Казахстан) и сопроводительные документы (Акт выполненных работ, табеля учёта рабочего времени, квитанции и прочие документы, указанные в Договоре) предоставляются в оригинале.</w:t>
            </w:r>
          </w:p>
        </w:tc>
        <w:tc>
          <w:tcPr>
            <w:tcW w:w="4821" w:type="dxa"/>
          </w:tcPr>
          <w:p w14:paraId="79B60B79" w14:textId="3F088A53" w:rsidR="00FF0FEE" w:rsidRPr="00C241D0" w:rsidRDefault="00FF0FEE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Инвойс (егер Мердігерлік Шарт бойынша Мердігер Қазақстан Республикасының бейрезиденті болса) және ілеспе құжаттар (Орындалған жұмыстар актісі, жұмыс уақытын есепке алу табельдері, түбіртектер және Шартта көрсетілген басқа да құжаттар) түпнұсқада ұсынылады.</w:t>
            </w:r>
          </w:p>
        </w:tc>
      </w:tr>
      <w:tr w:rsidR="00FF0FEE" w:rsidRPr="006A4F6B" w14:paraId="6F69A441" w14:textId="77777777" w:rsidTr="00FF0FEE">
        <w:tc>
          <w:tcPr>
            <w:tcW w:w="4672" w:type="dxa"/>
          </w:tcPr>
          <w:p w14:paraId="5A6D0F29" w14:textId="2B24E704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Банковские реквизиты</w:t>
            </w:r>
          </w:p>
        </w:tc>
        <w:tc>
          <w:tcPr>
            <w:tcW w:w="4821" w:type="dxa"/>
          </w:tcPr>
          <w:p w14:paraId="24EB8465" w14:textId="77777777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Банктік деректемелер</w:t>
            </w:r>
          </w:p>
        </w:tc>
      </w:tr>
      <w:tr w:rsidR="00FF0FEE" w:rsidRPr="00FF0FEE" w14:paraId="6638CC7F" w14:textId="77777777" w:rsidTr="00FF0FEE">
        <w:tc>
          <w:tcPr>
            <w:tcW w:w="4672" w:type="dxa"/>
          </w:tcPr>
          <w:p w14:paraId="42CF56E9" w14:textId="08CE0F79" w:rsidR="00FF0FEE" w:rsidRPr="00C241D0" w:rsidRDefault="00FF0FEE" w:rsidP="00A32A76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 любых изменениях в банковских реквизитах Подрядчик обязан незамедлительно сообщать представителю Заказчика в письменном виде с дальнейшим подписанием соответствующего Изменения к Договору.</w:t>
            </w:r>
          </w:p>
        </w:tc>
        <w:tc>
          <w:tcPr>
            <w:tcW w:w="4821" w:type="dxa"/>
          </w:tcPr>
          <w:p w14:paraId="44A91768" w14:textId="7336BE91" w:rsidR="00FF0FEE" w:rsidRPr="00C241D0" w:rsidRDefault="00FF0FEE" w:rsidP="00A32A76">
            <w:pPr>
              <w:pStyle w:val="ListParagraph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  <w:lang w:val="kk-KZ"/>
              </w:rPr>
              <w:t>Мердігер кейіннен Шартқа енгізілген тиісті Өзгертулерге қол қоя отырып, банктік деректемелердегі кез келген өзгерістер туралы Тапсырыс берушінің өкіліне жазбаша түрде дереу хабарлауға міндетті.</w:t>
            </w:r>
          </w:p>
        </w:tc>
      </w:tr>
    </w:tbl>
    <w:p w14:paraId="279DAD25" w14:textId="77777777" w:rsidR="00377E50" w:rsidRPr="006C7DCA" w:rsidRDefault="00377E50" w:rsidP="001E4DC5">
      <w:pPr>
        <w:spacing w:after="60"/>
        <w:rPr>
          <w:rFonts w:ascii="Times New Roman" w:hAnsi="Times New Roman" w:cs="Times New Roman"/>
          <w:sz w:val="16"/>
          <w:szCs w:val="16"/>
        </w:rPr>
      </w:pPr>
    </w:p>
    <w:sectPr w:rsidR="00377E50" w:rsidRPr="006C7DCA" w:rsidSect="00FF0FEE">
      <w:headerReference w:type="default" r:id="rId9"/>
      <w:footerReference w:type="default" r:id="rId10"/>
      <w:pgSz w:w="11906" w:h="16838"/>
      <w:pgMar w:top="1134" w:right="184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3264" w14:textId="77777777" w:rsidR="006621FC" w:rsidRDefault="006621FC" w:rsidP="00B26375">
      <w:pPr>
        <w:spacing w:after="0" w:line="240" w:lineRule="auto"/>
      </w:pPr>
      <w:r>
        <w:separator/>
      </w:r>
    </w:p>
  </w:endnote>
  <w:endnote w:type="continuationSeparator" w:id="0">
    <w:p w14:paraId="6705B691" w14:textId="77777777" w:rsidR="006621FC" w:rsidRDefault="006621FC" w:rsidP="00B26375">
      <w:pPr>
        <w:spacing w:after="0" w:line="240" w:lineRule="auto"/>
      </w:pPr>
      <w:r>
        <w:continuationSeparator/>
      </w:r>
    </w:p>
  </w:endnote>
  <w:endnote w:type="continuationNotice" w:id="1">
    <w:p w14:paraId="68E873A5" w14:textId="77777777" w:rsidR="006621FC" w:rsidRDefault="00662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37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087E344D" w14:textId="21B5378D" w:rsidR="00B26375" w:rsidRPr="00B26375" w:rsidRDefault="00B26375">
        <w:pPr>
          <w:pStyle w:val="Footer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  <w:lang w:val="en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  <w:lang w:val="en"/>
          </w:rPr>
          <w:t>2</w: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end"/>
        </w:r>
      </w:p>
    </w:sdtContent>
  </w:sdt>
  <w:p w14:paraId="5AAAA1C4" w14:textId="77777777" w:rsidR="00B26375" w:rsidRDefault="00B2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E49A" w14:textId="77777777" w:rsidR="006621FC" w:rsidRDefault="006621FC" w:rsidP="00B26375">
      <w:pPr>
        <w:spacing w:after="0" w:line="240" w:lineRule="auto"/>
      </w:pPr>
      <w:r>
        <w:separator/>
      </w:r>
    </w:p>
  </w:footnote>
  <w:footnote w:type="continuationSeparator" w:id="0">
    <w:p w14:paraId="6DAD6F60" w14:textId="77777777" w:rsidR="006621FC" w:rsidRDefault="006621FC" w:rsidP="00B26375">
      <w:pPr>
        <w:spacing w:after="0" w:line="240" w:lineRule="auto"/>
      </w:pPr>
      <w:r>
        <w:continuationSeparator/>
      </w:r>
    </w:p>
  </w:footnote>
  <w:footnote w:type="continuationNotice" w:id="1">
    <w:p w14:paraId="747315FC" w14:textId="77777777" w:rsidR="006621FC" w:rsidRDefault="006621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AAD6" w14:textId="77777777" w:rsidR="006621FC" w:rsidRDefault="00662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30112"/>
    <w:multiLevelType w:val="multilevel"/>
    <w:tmpl w:val="620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443135"/>
    <w:multiLevelType w:val="hybridMultilevel"/>
    <w:tmpl w:val="FF308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51117"/>
    <w:multiLevelType w:val="hybridMultilevel"/>
    <w:tmpl w:val="AB5ED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70CD"/>
    <w:multiLevelType w:val="hybridMultilevel"/>
    <w:tmpl w:val="26B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201"/>
    <w:multiLevelType w:val="multilevel"/>
    <w:tmpl w:val="09F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A5269"/>
    <w:multiLevelType w:val="hybridMultilevel"/>
    <w:tmpl w:val="25B4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D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E811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341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4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23283">
    <w:abstractNumId w:val="8"/>
  </w:num>
  <w:num w:numId="5" w16cid:durableId="641692682">
    <w:abstractNumId w:val="2"/>
  </w:num>
  <w:num w:numId="6" w16cid:durableId="2069067017">
    <w:abstractNumId w:val="9"/>
  </w:num>
  <w:num w:numId="7" w16cid:durableId="457653116">
    <w:abstractNumId w:val="0"/>
  </w:num>
  <w:num w:numId="8" w16cid:durableId="1205942914">
    <w:abstractNumId w:val="5"/>
  </w:num>
  <w:num w:numId="9" w16cid:durableId="1354384673">
    <w:abstractNumId w:val="4"/>
  </w:num>
  <w:num w:numId="10" w16cid:durableId="1119184743">
    <w:abstractNumId w:val="3"/>
  </w:num>
  <w:num w:numId="11" w16cid:durableId="11514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1"/>
    <w:rsid w:val="00001C52"/>
    <w:rsid w:val="00025C0D"/>
    <w:rsid w:val="00064DD7"/>
    <w:rsid w:val="000A3DB3"/>
    <w:rsid w:val="000A644E"/>
    <w:rsid w:val="000C0C1B"/>
    <w:rsid w:val="000C6CEA"/>
    <w:rsid w:val="000E29E5"/>
    <w:rsid w:val="000F0280"/>
    <w:rsid w:val="000F03D7"/>
    <w:rsid w:val="000F0585"/>
    <w:rsid w:val="000F3A0F"/>
    <w:rsid w:val="00100F16"/>
    <w:rsid w:val="00102AB7"/>
    <w:rsid w:val="001268F6"/>
    <w:rsid w:val="00141078"/>
    <w:rsid w:val="00164D00"/>
    <w:rsid w:val="00173DB7"/>
    <w:rsid w:val="00175474"/>
    <w:rsid w:val="00196174"/>
    <w:rsid w:val="001E05D1"/>
    <w:rsid w:val="001E4DC5"/>
    <w:rsid w:val="001F3285"/>
    <w:rsid w:val="00211DB3"/>
    <w:rsid w:val="00223C87"/>
    <w:rsid w:val="00226FFA"/>
    <w:rsid w:val="0023594F"/>
    <w:rsid w:val="00245888"/>
    <w:rsid w:val="00266ED4"/>
    <w:rsid w:val="002674F4"/>
    <w:rsid w:val="0027231A"/>
    <w:rsid w:val="00296469"/>
    <w:rsid w:val="002A29C9"/>
    <w:rsid w:val="002A6044"/>
    <w:rsid w:val="002A67B7"/>
    <w:rsid w:val="002B37E6"/>
    <w:rsid w:val="002C2006"/>
    <w:rsid w:val="002C304E"/>
    <w:rsid w:val="002F2731"/>
    <w:rsid w:val="00305143"/>
    <w:rsid w:val="00323131"/>
    <w:rsid w:val="003357F2"/>
    <w:rsid w:val="0034527E"/>
    <w:rsid w:val="00356E49"/>
    <w:rsid w:val="00372867"/>
    <w:rsid w:val="00377E50"/>
    <w:rsid w:val="003A2164"/>
    <w:rsid w:val="003A7123"/>
    <w:rsid w:val="003F3BCA"/>
    <w:rsid w:val="003F69ED"/>
    <w:rsid w:val="00411259"/>
    <w:rsid w:val="00414D6C"/>
    <w:rsid w:val="00473F81"/>
    <w:rsid w:val="00484AB0"/>
    <w:rsid w:val="0049324E"/>
    <w:rsid w:val="004A0916"/>
    <w:rsid w:val="004A351D"/>
    <w:rsid w:val="004A5280"/>
    <w:rsid w:val="004B624B"/>
    <w:rsid w:val="004C0734"/>
    <w:rsid w:val="004C12BB"/>
    <w:rsid w:val="004C145A"/>
    <w:rsid w:val="0050380D"/>
    <w:rsid w:val="00511F4B"/>
    <w:rsid w:val="00514D9B"/>
    <w:rsid w:val="00522230"/>
    <w:rsid w:val="00527587"/>
    <w:rsid w:val="0054575B"/>
    <w:rsid w:val="00582A84"/>
    <w:rsid w:val="00597AFB"/>
    <w:rsid w:val="005A4D6C"/>
    <w:rsid w:val="005A6884"/>
    <w:rsid w:val="006024B9"/>
    <w:rsid w:val="00611608"/>
    <w:rsid w:val="0061505E"/>
    <w:rsid w:val="00622DD4"/>
    <w:rsid w:val="006443BF"/>
    <w:rsid w:val="006621FC"/>
    <w:rsid w:val="006626A1"/>
    <w:rsid w:val="00663146"/>
    <w:rsid w:val="006674C4"/>
    <w:rsid w:val="00677FF9"/>
    <w:rsid w:val="0069546C"/>
    <w:rsid w:val="006A4F6B"/>
    <w:rsid w:val="006B69CF"/>
    <w:rsid w:val="006C1E24"/>
    <w:rsid w:val="006C7DCA"/>
    <w:rsid w:val="006D7ED7"/>
    <w:rsid w:val="00703FC4"/>
    <w:rsid w:val="0071009D"/>
    <w:rsid w:val="007156BB"/>
    <w:rsid w:val="00753274"/>
    <w:rsid w:val="00774847"/>
    <w:rsid w:val="00792654"/>
    <w:rsid w:val="007960FD"/>
    <w:rsid w:val="007A1700"/>
    <w:rsid w:val="007B1D68"/>
    <w:rsid w:val="007B2CAB"/>
    <w:rsid w:val="007B3DB2"/>
    <w:rsid w:val="007B6A94"/>
    <w:rsid w:val="007C1061"/>
    <w:rsid w:val="007C4DF7"/>
    <w:rsid w:val="007E5309"/>
    <w:rsid w:val="008047E3"/>
    <w:rsid w:val="00861ACB"/>
    <w:rsid w:val="00894944"/>
    <w:rsid w:val="008A68A7"/>
    <w:rsid w:val="008E5D37"/>
    <w:rsid w:val="008F02BE"/>
    <w:rsid w:val="008F3FCD"/>
    <w:rsid w:val="008F4CF0"/>
    <w:rsid w:val="00926B67"/>
    <w:rsid w:val="009526D9"/>
    <w:rsid w:val="00962A44"/>
    <w:rsid w:val="00993873"/>
    <w:rsid w:val="009A51EA"/>
    <w:rsid w:val="009A77ED"/>
    <w:rsid w:val="009B12A8"/>
    <w:rsid w:val="009D07FD"/>
    <w:rsid w:val="009E31FA"/>
    <w:rsid w:val="009E73B8"/>
    <w:rsid w:val="009F545E"/>
    <w:rsid w:val="00A02E7C"/>
    <w:rsid w:val="00A1086E"/>
    <w:rsid w:val="00A21BE1"/>
    <w:rsid w:val="00A32A76"/>
    <w:rsid w:val="00A41517"/>
    <w:rsid w:val="00A76332"/>
    <w:rsid w:val="00A81114"/>
    <w:rsid w:val="00A82C28"/>
    <w:rsid w:val="00A95AE5"/>
    <w:rsid w:val="00A96748"/>
    <w:rsid w:val="00AC3ECB"/>
    <w:rsid w:val="00B2492F"/>
    <w:rsid w:val="00B26375"/>
    <w:rsid w:val="00B407B4"/>
    <w:rsid w:val="00B40B0E"/>
    <w:rsid w:val="00B75973"/>
    <w:rsid w:val="00B97976"/>
    <w:rsid w:val="00BB532F"/>
    <w:rsid w:val="00BD15E3"/>
    <w:rsid w:val="00BD48C2"/>
    <w:rsid w:val="00BE08B9"/>
    <w:rsid w:val="00C03BF3"/>
    <w:rsid w:val="00C22AD7"/>
    <w:rsid w:val="00C241D0"/>
    <w:rsid w:val="00C428DA"/>
    <w:rsid w:val="00C703FC"/>
    <w:rsid w:val="00C76D29"/>
    <w:rsid w:val="00C77A94"/>
    <w:rsid w:val="00C85132"/>
    <w:rsid w:val="00C90C6A"/>
    <w:rsid w:val="00CC099B"/>
    <w:rsid w:val="00D1195A"/>
    <w:rsid w:val="00D12D42"/>
    <w:rsid w:val="00D24F2D"/>
    <w:rsid w:val="00D2531D"/>
    <w:rsid w:val="00D70387"/>
    <w:rsid w:val="00D754A1"/>
    <w:rsid w:val="00D858F9"/>
    <w:rsid w:val="00DA006F"/>
    <w:rsid w:val="00DA6796"/>
    <w:rsid w:val="00DB4FB7"/>
    <w:rsid w:val="00DC4486"/>
    <w:rsid w:val="00DC5AE1"/>
    <w:rsid w:val="00DE0228"/>
    <w:rsid w:val="00DF0D2E"/>
    <w:rsid w:val="00DF4022"/>
    <w:rsid w:val="00E0269B"/>
    <w:rsid w:val="00E105B7"/>
    <w:rsid w:val="00E345CC"/>
    <w:rsid w:val="00E66630"/>
    <w:rsid w:val="00E9201A"/>
    <w:rsid w:val="00E966DE"/>
    <w:rsid w:val="00EA5747"/>
    <w:rsid w:val="00EE540D"/>
    <w:rsid w:val="00EE636A"/>
    <w:rsid w:val="00EF7F26"/>
    <w:rsid w:val="00F06473"/>
    <w:rsid w:val="00F06715"/>
    <w:rsid w:val="00F12878"/>
    <w:rsid w:val="00F219FE"/>
    <w:rsid w:val="00F33EE5"/>
    <w:rsid w:val="00F45B67"/>
    <w:rsid w:val="00F47DD6"/>
    <w:rsid w:val="00F56762"/>
    <w:rsid w:val="00F671ED"/>
    <w:rsid w:val="00F70BF6"/>
    <w:rsid w:val="00F76632"/>
    <w:rsid w:val="00F8137E"/>
    <w:rsid w:val="00F971BE"/>
    <w:rsid w:val="00FB1B19"/>
    <w:rsid w:val="00FB3AC1"/>
    <w:rsid w:val="00FC051B"/>
    <w:rsid w:val="00FD1C7F"/>
    <w:rsid w:val="00FE2220"/>
    <w:rsid w:val="00FE5BF8"/>
    <w:rsid w:val="00FF05DE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C2"/>
  <w15:chartTrackingRefBased/>
  <w15:docId w15:val="{4F8522F4-4DFC-45CE-B401-62C2C8E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34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7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7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95A"/>
    <w:rPr>
      <w:color w:val="0563C1" w:themeColor="hyperlink"/>
      <w:u w:val="single"/>
    </w:rPr>
  </w:style>
  <w:style w:type="character" w:customStyle="1" w:styleId="oradatatext1">
    <w:name w:val="oradatatext1"/>
    <w:basedOn w:val="DefaultParagraphFont"/>
    <w:rsid w:val="009F545E"/>
    <w:rPr>
      <w:rFonts w:ascii="Helvetica" w:hAnsi="Helvetica" w:hint="default"/>
      <w:color w:val="333333"/>
      <w:sz w:val="18"/>
      <w:szCs w:val="18"/>
    </w:rPr>
  </w:style>
  <w:style w:type="paragraph" w:styleId="NoSpacing">
    <w:name w:val="No Spacing"/>
    <w:link w:val="NoSpacingChar"/>
    <w:uiPriority w:val="1"/>
    <w:qFormat/>
    <w:rsid w:val="0069546C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69546C"/>
    <w:rPr>
      <w:rFonts w:eastAsiaTheme="minorEastAsia"/>
      <w:lang w:eastAsia="ru-RU"/>
    </w:rPr>
  </w:style>
  <w:style w:type="character" w:styleId="Emphasis">
    <w:name w:val="Emphasis"/>
    <w:basedOn w:val="DefaultParagraphFont"/>
    <w:uiPriority w:val="20"/>
    <w:qFormat/>
    <w:rsid w:val="008F4CF0"/>
    <w:rPr>
      <w:i/>
      <w:iCs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703FC4"/>
    <w:pPr>
      <w:spacing w:before="120" w:after="280" w:line="240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customStyle="1" w:styleId="ListParagraphChar">
    <w:name w:val="List Paragraph Char"/>
    <w:aliases w:val="Абзац Char"/>
    <w:link w:val="ListParagraph"/>
    <w:uiPriority w:val="34"/>
    <w:locked/>
    <w:rsid w:val="00703FC4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100F1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100F16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F02BE"/>
    <w:rPr>
      <w:color w:val="605E5C"/>
      <w:shd w:val="clear" w:color="auto" w:fill="E1DFDD"/>
    </w:rPr>
  </w:style>
  <w:style w:type="character" w:customStyle="1" w:styleId="js-phone-number">
    <w:name w:val="js-phone-number"/>
    <w:basedOn w:val="DefaultParagraphFont"/>
    <w:rsid w:val="00BD48C2"/>
  </w:style>
  <w:style w:type="character" w:styleId="Strong">
    <w:name w:val="Strong"/>
    <w:basedOn w:val="DefaultParagraphFont"/>
    <w:uiPriority w:val="22"/>
    <w:qFormat/>
    <w:rsid w:val="00266ED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C12BB"/>
    <w:pPr>
      <w:spacing w:before="120" w:after="120" w:line="240" w:lineRule="auto"/>
    </w:pPr>
    <w:rPr>
      <w:rFonts w:ascii="Times New Roman" w:eastAsiaTheme="minorHAnsi" w:hAnsi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C12BB"/>
    <w:rPr>
      <w:rFonts w:ascii="Times New Roman" w:hAnsi="Times New Roman"/>
      <w:sz w:val="28"/>
    </w:rPr>
  </w:style>
  <w:style w:type="paragraph" w:customStyle="1" w:styleId="ListParagraph1">
    <w:name w:val="List Paragraph1"/>
    <w:basedOn w:val="Normal"/>
    <w:uiPriority w:val="72"/>
    <w:qFormat/>
    <w:rsid w:val="004C12BB"/>
    <w:pPr>
      <w:ind w:left="720"/>
      <w:contextualSpacing/>
    </w:pPr>
    <w:rPr>
      <w:rFonts w:ascii="Calibri" w:eastAsia="SimSu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70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F6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F6"/>
    <w:rPr>
      <w:rFonts w:eastAsia="MS Mincho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75973"/>
  </w:style>
  <w:style w:type="table" w:customStyle="1" w:styleId="1">
    <w:name w:val="Сетка таблицы1"/>
    <w:basedOn w:val="TableNormal"/>
    <w:next w:val="TableGrid"/>
    <w:uiPriority w:val="39"/>
    <w:rsid w:val="003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75"/>
    <w:rPr>
      <w:rFonts w:eastAsia="MS Mincho"/>
    </w:rPr>
  </w:style>
  <w:style w:type="paragraph" w:styleId="Revision">
    <w:name w:val="Revision"/>
    <w:hidden/>
    <w:uiPriority w:val="99"/>
    <w:semiHidden/>
    <w:rsid w:val="002B37E6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tokenergo@kazminer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stokenergo@kazminera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 Svankulova</dc:creator>
  <cp:keywords/>
  <dc:description/>
  <cp:lastModifiedBy>Anel Omirbay</cp:lastModifiedBy>
  <cp:revision>2</cp:revision>
  <cp:lastPrinted>2023-03-28T03:13:00Z</cp:lastPrinted>
  <dcterms:created xsi:type="dcterms:W3CDTF">2023-12-06T10:24:00Z</dcterms:created>
  <dcterms:modified xsi:type="dcterms:W3CDTF">2023-12-06T10:24:00Z</dcterms:modified>
</cp:coreProperties>
</file>