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4327" w:type="dxa"/>
        <w:tblLook w:val="04A0" w:firstRow="1" w:lastRow="0" w:firstColumn="1" w:lastColumn="0" w:noHBand="0" w:noVBand="1"/>
      </w:tblPr>
      <w:tblGrid>
        <w:gridCol w:w="4672"/>
        <w:gridCol w:w="4821"/>
        <w:gridCol w:w="4825"/>
        <w:gridCol w:w="9"/>
      </w:tblGrid>
      <w:tr w:rsidR="00377E50" w:rsidRPr="00D754A1" w14:paraId="417856C5" w14:textId="77777777" w:rsidTr="009526D9">
        <w:trPr>
          <w:trHeight w:val="274"/>
        </w:trPr>
        <w:tc>
          <w:tcPr>
            <w:tcW w:w="14327" w:type="dxa"/>
            <w:gridSpan w:val="4"/>
          </w:tcPr>
          <w:p w14:paraId="670838CF" w14:textId="3B93EC87" w:rsidR="00377E50" w:rsidRPr="006443BF" w:rsidRDefault="00377E50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Приложение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№ 1 /</w:t>
            </w:r>
            <w:r w:rsidR="00D754A1"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№ 1 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Қосымша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/ Attachment No.1 </w:t>
            </w:r>
          </w:p>
        </w:tc>
      </w:tr>
      <w:tr w:rsidR="00377E50" w:rsidRPr="006A4F6B" w14:paraId="0098B4BD" w14:textId="77777777" w:rsidTr="009526D9">
        <w:trPr>
          <w:gridAfter w:val="1"/>
          <w:wAfter w:w="9" w:type="dxa"/>
          <w:trHeight w:val="269"/>
        </w:trPr>
        <w:tc>
          <w:tcPr>
            <w:tcW w:w="4672" w:type="dxa"/>
          </w:tcPr>
          <w:p w14:paraId="40A5A593" w14:textId="77777777" w:rsidR="00377E50" w:rsidRPr="006A4F6B" w:rsidRDefault="00377E50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ИНСТРУКЦИЯ ПО ВЫСТАВЛЕНИЮ СЧЕТОВ</w:t>
            </w:r>
          </w:p>
        </w:tc>
        <w:tc>
          <w:tcPr>
            <w:tcW w:w="4821" w:type="dxa"/>
          </w:tcPr>
          <w:p w14:paraId="2DCDC25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ШОТ ҰСЫНУ ТУРАЛЫ НҰСҚАУЛЫҚ </w:t>
            </w:r>
          </w:p>
        </w:tc>
        <w:tc>
          <w:tcPr>
            <w:tcW w:w="4825" w:type="dxa"/>
          </w:tcPr>
          <w:p w14:paraId="49A6019D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INVOICING ADDRESS </w:t>
            </w:r>
          </w:p>
        </w:tc>
      </w:tr>
      <w:tr w:rsidR="00377E50" w:rsidRPr="00FA4414" w14:paraId="16835B83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D5A5BD2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I. Адрес, куда направляются счета</w:t>
            </w:r>
          </w:p>
        </w:tc>
        <w:tc>
          <w:tcPr>
            <w:tcW w:w="4821" w:type="dxa"/>
          </w:tcPr>
          <w:p w14:paraId="0E818B18" w14:textId="76DA765C" w:rsidR="00377E50" w:rsidRPr="006A4F6B" w:rsidRDefault="009526D9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I.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Шоттар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жөнелтілетін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мекенжай</w:t>
            </w:r>
            <w:proofErr w:type="spellEnd"/>
          </w:p>
        </w:tc>
        <w:tc>
          <w:tcPr>
            <w:tcW w:w="4825" w:type="dxa"/>
          </w:tcPr>
          <w:p w14:paraId="1AC1C3DB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I. Address where all invoices shall be delivered </w:t>
            </w:r>
          </w:p>
        </w:tc>
      </w:tr>
      <w:tr w:rsidR="00377E50" w:rsidRPr="00FA4414" w14:paraId="0AD42D77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85A77D9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51B48FB4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16F9DE5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FA4414" w14:paraId="57E5F580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8E0F0FF" w14:textId="6DAFC930" w:rsidR="00377E50" w:rsidRPr="00C241D0" w:rsidRDefault="00377E50" w:rsidP="002C200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Все счета, счета-фактуры, инвойсы направляются по следующему адресу:</w:t>
            </w:r>
          </w:p>
        </w:tc>
        <w:tc>
          <w:tcPr>
            <w:tcW w:w="4821" w:type="dxa"/>
          </w:tcPr>
          <w:p w14:paraId="388A140B" w14:textId="269FAD6F" w:rsidR="00377E50" w:rsidRPr="00C241D0" w:rsidRDefault="00C241D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Барлық шот, шот-фактура, инвойс мына мекенжай бойынша жіберіледі:</w:t>
            </w:r>
          </w:p>
        </w:tc>
        <w:tc>
          <w:tcPr>
            <w:tcW w:w="4825" w:type="dxa"/>
          </w:tcPr>
          <w:p w14:paraId="242FC6AF" w14:textId="5D520363" w:rsidR="00377E50" w:rsidRPr="00C241D0" w:rsidRDefault="00C85132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All invoices shall be sent to the following address:</w:t>
            </w:r>
          </w:p>
        </w:tc>
      </w:tr>
      <w:tr w:rsidR="00377E50" w:rsidRPr="00FA4414" w14:paraId="2207589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C0805BE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  <w:t xml:space="preserve">                             </w:t>
            </w:r>
          </w:p>
        </w:tc>
        <w:tc>
          <w:tcPr>
            <w:tcW w:w="4821" w:type="dxa"/>
          </w:tcPr>
          <w:p w14:paraId="4AD1267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54BE426E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FA4414" w14:paraId="790A5E3B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EDD8E04" w14:textId="65E5FECD" w:rsidR="00377E50" w:rsidRPr="006A4F6B" w:rsidRDefault="002A67B7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) /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Bozshakol»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821" w:type="dxa"/>
          </w:tcPr>
          <w:p w14:paraId="649DF309" w14:textId="5F2D9B49" w:rsidR="00377E50" w:rsidRPr="006A4F6B" w:rsidRDefault="002C2006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/ «KAZ Minerals Bozshakol»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</w:tc>
        <w:tc>
          <w:tcPr>
            <w:tcW w:w="4825" w:type="dxa"/>
          </w:tcPr>
          <w:p w14:paraId="1A819A55" w14:textId="4F1B8939" w:rsidR="00377E50" w:rsidRPr="006A4F6B" w:rsidRDefault="002C2006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 LLC / KAZ Minerals Bozshakol LLC</w:t>
            </w:r>
          </w:p>
        </w:tc>
      </w:tr>
      <w:tr w:rsidR="00377E50" w:rsidRPr="00FA4414" w14:paraId="21F95C97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1DCDF5D9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015D356A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6FD6E418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FA4414" w14:paraId="458C1819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661D336" w14:textId="77777777" w:rsidR="00377E50" w:rsidRPr="006A4F6B" w:rsidRDefault="00377E50" w:rsidP="001E4DC5">
            <w:pPr>
              <w:spacing w:after="6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Республика Казахстан, город Алматы, Медеуский район, проспект Достык, дом 85А, корпус 1, почтовый индекс 050021</w:t>
            </w:r>
          </w:p>
        </w:tc>
        <w:tc>
          <w:tcPr>
            <w:tcW w:w="4821" w:type="dxa"/>
          </w:tcPr>
          <w:p w14:paraId="21F0ADF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Республикасы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Алматы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қаласы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Медеу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ауданы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Достық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даңғылы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85А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үй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1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ғимарат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, индекс 050021</w:t>
            </w:r>
          </w:p>
        </w:tc>
        <w:tc>
          <w:tcPr>
            <w:tcW w:w="4825" w:type="dxa"/>
          </w:tcPr>
          <w:p w14:paraId="294E8D36" w14:textId="77777777" w:rsidR="00377E50" w:rsidRPr="006A4F6B" w:rsidRDefault="00377E50" w:rsidP="001E4DC5">
            <w:pPr>
              <w:spacing w:after="6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Republic of Kazakhstan, Almaty city, Medeu district,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Dostyk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 avenue, 85A, building 1, postal code 050021</w:t>
            </w:r>
          </w:p>
        </w:tc>
      </w:tr>
      <w:tr w:rsidR="00377E50" w:rsidRPr="00FA4414" w14:paraId="7609EDC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7023706" w14:textId="36110033" w:rsidR="002A67B7" w:rsidRPr="006443BF" w:rsidRDefault="009526D9" w:rsidP="001E4DC5">
            <w:pPr>
              <w:spacing w:after="60" w:line="200" w:lineRule="exact"/>
              <w:rPr>
                <w:rStyle w:val="a6"/>
                <w:color w:val="0070C0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): </w:t>
            </w:r>
            <w:hyperlink r:id="rId10" w:history="1"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KAL</w:t>
              </w:r>
              <w:r w:rsidRPr="006443B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AP</w:t>
              </w:r>
              <w:r w:rsidRPr="006443B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Accountants</w:t>
              </w:r>
              <w:r w:rsidRPr="006443B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@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Kazminerals</w:t>
              </w:r>
              <w:r w:rsidRPr="006443B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14:paraId="7328DF7A" w14:textId="77777777" w:rsidR="009526D9" w:rsidRPr="006443BF" w:rsidRDefault="009526D9" w:rsidP="001E4DC5">
            <w:pPr>
              <w:spacing w:after="60" w:line="200" w:lineRule="exact"/>
              <w:rPr>
                <w:rStyle w:val="a6"/>
                <w:color w:val="0070C0"/>
                <w:lang w:val="en-US"/>
              </w:rPr>
            </w:pPr>
          </w:p>
          <w:p w14:paraId="11D711A4" w14:textId="7F296D56" w:rsidR="009526D9" w:rsidRPr="006443BF" w:rsidRDefault="009526D9" w:rsidP="001E4DC5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Bozshakol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  <w:p w14:paraId="00381862" w14:textId="40A8D97E" w:rsidR="00FA4414" w:rsidRPr="00FA4414" w:rsidRDefault="00FA4414" w:rsidP="001E4DC5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1" w:history="1">
              <w:r w:rsidRPr="000B7FE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KBL_AP_Accountants@Kazminerals.com</w:t>
              </w:r>
            </w:hyperlink>
          </w:p>
          <w:p w14:paraId="6B7C4E03" w14:textId="25FF01D0" w:rsidR="009A51EA" w:rsidRPr="006A4F6B" w:rsidRDefault="00FA4414" w:rsidP="001E4DC5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hyperlink r:id="rId12" w:history="1">
              <w:r w:rsidRPr="000B7FE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KBL_AP_Assistant@Kazminerals.com</w:t>
              </w:r>
            </w:hyperlink>
          </w:p>
          <w:p w14:paraId="2A855BDD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0CDAA048" w14:textId="4AF70BC9" w:rsidR="009526D9" w:rsidRPr="006A4F6B" w:rsidRDefault="009526D9" w:rsidP="002C2006">
            <w:pPr>
              <w:spacing w:after="60" w:line="200" w:lineRule="exact"/>
              <w:rPr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«KAZ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  <w:p w14:paraId="16570F4D" w14:textId="2C026EDF" w:rsidR="002C2006" w:rsidRPr="006A4F6B" w:rsidRDefault="00FA4414" w:rsidP="002C2006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3" w:history="1">
              <w:r w:rsidR="008A68A7"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KAL.AP.Accountants@Kazminerals.com</w:t>
              </w:r>
            </w:hyperlink>
          </w:p>
          <w:p w14:paraId="50C44CAB" w14:textId="77777777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</w:p>
          <w:p w14:paraId="3906FF6A" w14:textId="4A76FD61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«KAZ Minerals Bozshakol»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  <w:p w14:paraId="7CD903DD" w14:textId="77777777" w:rsidR="00FA4414" w:rsidRPr="00FA4414" w:rsidRDefault="00FA4414" w:rsidP="00FA4414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4" w:history="1">
              <w:r w:rsidRPr="000B7FE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</w:t>
              </w:r>
              <w:r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BL</w:t>
              </w:r>
              <w:r w:rsidRPr="000B7FE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_AP_Accountants@Kazminerals.com</w:t>
              </w:r>
            </w:hyperlink>
          </w:p>
          <w:p w14:paraId="24F2B0E6" w14:textId="28AC80E1" w:rsidR="002C2006" w:rsidRPr="006A4F6B" w:rsidRDefault="00FA4414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hyperlink r:id="rId15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KBL_AP_Assistant@Kazminerals.com</w:t>
              </w:r>
            </w:hyperlink>
          </w:p>
          <w:p w14:paraId="5921EC8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1E673AF8" w14:textId="7FF30E5E" w:rsidR="009526D9" w:rsidRPr="006A4F6B" w:rsidRDefault="009526D9" w:rsidP="002C2006">
            <w:pPr>
              <w:spacing w:after="60" w:line="200" w:lineRule="exact"/>
              <w:rPr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 LLC</w:t>
            </w:r>
          </w:p>
          <w:p w14:paraId="05AC0830" w14:textId="1089FEB6" w:rsidR="002C2006" w:rsidRPr="006A4F6B" w:rsidRDefault="00FA4414" w:rsidP="002C2006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6" w:history="1">
              <w:r w:rsidR="008A68A7"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"/>
                </w:rPr>
                <w:t>KAL.AP.Accountants@Kazminerals.com</w:t>
              </w:r>
            </w:hyperlink>
          </w:p>
          <w:p w14:paraId="1E353D60" w14:textId="77777777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</w:p>
          <w:p w14:paraId="054CCBDE" w14:textId="398346C1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KAZ Minerals Bozshakol LLC</w:t>
            </w:r>
          </w:p>
          <w:p w14:paraId="4B53EC29" w14:textId="77777777" w:rsidR="00FA4414" w:rsidRPr="00FA4414" w:rsidRDefault="00FA4414" w:rsidP="00FA4414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>HYPERLINK "mailto:</w:instrText>
            </w:r>
            <w:r w:rsidRPr="00FA44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>Kbl_AP_Accountants@Kazminerals.com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>"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0B7FE4"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t>BL</w:t>
            </w:r>
            <w:r w:rsidRPr="000B7FE4"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t>_AP_Accountants@Kazminerals.com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  <w:p w14:paraId="33C2D1C9" w14:textId="2C76241B" w:rsidR="002C2006" w:rsidRPr="006A4F6B" w:rsidRDefault="00FA4414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>
              <w:fldChar w:fldCharType="begin"/>
            </w:r>
            <w:r w:rsidRPr="00FA4414">
              <w:rPr>
                <w:lang w:val="en-US"/>
              </w:rPr>
              <w:instrText>HYPERLINK "mailto:KBL_AP_Assistant@Kazminerals.com"</w:instrText>
            </w:r>
            <w:r>
              <w:fldChar w:fldCharType="separate"/>
            </w:r>
            <w:r w:rsidR="008A68A7" w:rsidRPr="006A4F6B"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"/>
              </w:rPr>
              <w:t>KBL_AP_Assistant@Kazminerals.com</w:t>
            </w:r>
            <w:r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"/>
              </w:rPr>
              <w:fldChar w:fldCharType="end"/>
            </w:r>
          </w:p>
          <w:p w14:paraId="057BB63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6A4F6B" w14:paraId="7A128D4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5F5273D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Вниманию: Финансового департамента</w:t>
            </w:r>
          </w:p>
        </w:tc>
        <w:tc>
          <w:tcPr>
            <w:tcW w:w="4821" w:type="dxa"/>
          </w:tcPr>
          <w:p w14:paraId="58EF57E7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Кімнің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назарына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: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Қаржы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департаменті</w:t>
            </w:r>
            <w:proofErr w:type="spellEnd"/>
          </w:p>
        </w:tc>
        <w:tc>
          <w:tcPr>
            <w:tcW w:w="4825" w:type="dxa"/>
          </w:tcPr>
          <w:p w14:paraId="710C25C9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en"/>
              </w:rPr>
              <w:t>Attn: Finance Department</w:t>
            </w:r>
          </w:p>
        </w:tc>
      </w:tr>
      <w:tr w:rsidR="00377E50" w:rsidRPr="006A4F6B" w14:paraId="28E896B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34C3916C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II. Условия</w:t>
            </w:r>
          </w:p>
        </w:tc>
        <w:tc>
          <w:tcPr>
            <w:tcW w:w="4821" w:type="dxa"/>
          </w:tcPr>
          <w:p w14:paraId="4DAEBCF7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II.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4825" w:type="dxa"/>
          </w:tcPr>
          <w:p w14:paraId="43943CAD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II. Invoicing condition</w:t>
            </w:r>
          </w:p>
        </w:tc>
      </w:tr>
      <w:tr w:rsidR="00377E50" w:rsidRPr="00FA4414" w14:paraId="2D292E2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DEB749F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Невыполнение или неточное соблюдение любого из указанных ниже условий будет считаться достаточным основанием для задержки оплаты и/или возвращения счёта Подрядчику.</w:t>
            </w:r>
          </w:p>
        </w:tc>
        <w:tc>
          <w:tcPr>
            <w:tcW w:w="4821" w:type="dxa"/>
          </w:tcPr>
          <w:p w14:paraId="4CE5FF28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Төменде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кез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келген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талаптарды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орындамау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немесе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дәл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ұстанбау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төлемді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кешеуілдетуге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және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/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немесе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Мердігерге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шотты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қайтарып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беруге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жеткілікті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негіз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болып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есептеледі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4825" w:type="dxa"/>
          </w:tcPr>
          <w:p w14:paraId="2E7A8410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Any of the following conditions, not being followed or being correct, will be considered just cause for withholding payment and/or returning invoices to Contractor. </w:t>
            </w:r>
          </w:p>
        </w:tc>
      </w:tr>
      <w:tr w:rsidR="00377E50" w:rsidRPr="006A4F6B" w14:paraId="1F42411A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1FDD88C8" w14:textId="77777777" w:rsidR="00377E50" w:rsidRPr="00C241D0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Общие положения:</w:t>
            </w:r>
          </w:p>
        </w:tc>
        <w:tc>
          <w:tcPr>
            <w:tcW w:w="4821" w:type="dxa"/>
          </w:tcPr>
          <w:p w14:paraId="10D533FB" w14:textId="77777777" w:rsidR="00377E50" w:rsidRPr="00C241D0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Жалпы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ережелер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825" w:type="dxa"/>
          </w:tcPr>
          <w:p w14:paraId="5E37D70F" w14:textId="77777777" w:rsidR="00377E50" w:rsidRPr="00C241D0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General terms: </w:t>
            </w:r>
          </w:p>
        </w:tc>
      </w:tr>
      <w:tr w:rsidR="00377E50" w:rsidRPr="00FA4414" w14:paraId="3875F50D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D1A5DA0" w14:textId="02E2D1D2" w:rsidR="00377E50" w:rsidRPr="00C241D0" w:rsidRDefault="00377E50" w:rsidP="00A32A76">
            <w:pPr>
              <w:numPr>
                <w:ilvl w:val="0"/>
                <w:numId w:val="5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Наименование, адрес и банковские реквизиты Подрядчика должны соответствовать реквизитам, указанным в Договоре.</w:t>
            </w:r>
          </w:p>
        </w:tc>
        <w:tc>
          <w:tcPr>
            <w:tcW w:w="4821" w:type="dxa"/>
          </w:tcPr>
          <w:p w14:paraId="632C36CC" w14:textId="015F5575" w:rsidR="00377E50" w:rsidRPr="00C241D0" w:rsidRDefault="00C241D0" w:rsidP="00A32A76">
            <w:pPr>
              <w:pStyle w:val="aa"/>
              <w:numPr>
                <w:ilvl w:val="0"/>
                <w:numId w:val="5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C241D0">
              <w:rPr>
                <w:rFonts w:cs="Times New Roman"/>
                <w:sz w:val="16"/>
                <w:szCs w:val="16"/>
              </w:rPr>
              <w:t>Мердігердің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атауы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мекенжайы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және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банктік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деректемелері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Шартта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көрсетілген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деректемелерге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сәйкес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келуі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керек.</w:t>
            </w:r>
          </w:p>
        </w:tc>
        <w:tc>
          <w:tcPr>
            <w:tcW w:w="4825" w:type="dxa"/>
          </w:tcPr>
          <w:p w14:paraId="323F10D8" w14:textId="14EB2279" w:rsidR="00377E50" w:rsidRPr="00C241D0" w:rsidRDefault="000C0C1B" w:rsidP="00A32A76">
            <w:pPr>
              <w:numPr>
                <w:ilvl w:val="0"/>
                <w:numId w:val="10"/>
              </w:num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The Contractor’s name, address and banking details shall be the same as the details stated in the </w:t>
            </w:r>
            <w:r w:rsidR="0023594F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.</w:t>
            </w:r>
          </w:p>
        </w:tc>
      </w:tr>
      <w:tr w:rsidR="00DF4022" w:rsidRPr="00FA4414" w14:paraId="27F0AA5D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046D19C" w14:textId="1DC0CC49" w:rsidR="00DF4022" w:rsidRPr="00C241D0" w:rsidRDefault="00DF4022" w:rsidP="00DF4022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 электронном счёте-фактуре (инвойсе) обязательно должны быть указаны:</w:t>
            </w:r>
          </w:p>
        </w:tc>
        <w:tc>
          <w:tcPr>
            <w:tcW w:w="4821" w:type="dxa"/>
          </w:tcPr>
          <w:p w14:paraId="57E41800" w14:textId="366AEF1D" w:rsidR="00DF4022" w:rsidRPr="00C241D0" w:rsidRDefault="00C241D0" w:rsidP="00C241D0">
            <w:p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шот-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фактурада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(шот-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фактурада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мыналар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көрсетілуі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керек:</w:t>
            </w:r>
          </w:p>
        </w:tc>
        <w:tc>
          <w:tcPr>
            <w:tcW w:w="4825" w:type="dxa"/>
          </w:tcPr>
          <w:p w14:paraId="64799908" w14:textId="76210D95" w:rsidR="00DF4022" w:rsidRPr="00C241D0" w:rsidRDefault="00DF4022" w:rsidP="00DF4022">
            <w:pPr>
              <w:numPr>
                <w:ilvl w:val="0"/>
                <w:numId w:val="10"/>
              </w:num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An electronic invoice shall include the following information:</w:t>
            </w:r>
          </w:p>
        </w:tc>
      </w:tr>
      <w:tr w:rsidR="00DF4022" w:rsidRPr="00FA4414" w14:paraId="067CF41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6C47F2F" w14:textId="14A0F7F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счёта-фактуры (инвойса) учетной системы поставщика (номер не должен повторяться);</w:t>
            </w:r>
          </w:p>
        </w:tc>
        <w:tc>
          <w:tcPr>
            <w:tcW w:w="4821" w:type="dxa"/>
          </w:tcPr>
          <w:p w14:paraId="4B502044" w14:textId="266C4629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жеткізушінің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есепке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алу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жүйесіндегі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шот-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фактурасының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(инвойс)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нөмірі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нөмір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қайталанбауы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керек);</w:t>
            </w:r>
          </w:p>
        </w:tc>
        <w:tc>
          <w:tcPr>
            <w:tcW w:w="4825" w:type="dxa"/>
          </w:tcPr>
          <w:p w14:paraId="5BF2A3A6" w14:textId="0AEB55FB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number of the invoice from the supplier's accounting system (the number shall not be repeated);</w:t>
            </w:r>
          </w:p>
        </w:tc>
      </w:tr>
      <w:tr w:rsidR="00DF4022" w:rsidRPr="006A4F6B" w14:paraId="62FBF74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2AC0513" w14:textId="334720D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дата счёта-фактуры (инвойса);</w:t>
            </w:r>
          </w:p>
        </w:tc>
        <w:tc>
          <w:tcPr>
            <w:tcW w:w="4821" w:type="dxa"/>
          </w:tcPr>
          <w:p w14:paraId="1C4B55AA" w14:textId="27B7F395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 (инвойс) ұсынылған күн;</w:t>
            </w:r>
          </w:p>
        </w:tc>
        <w:tc>
          <w:tcPr>
            <w:tcW w:w="4825" w:type="dxa"/>
          </w:tcPr>
          <w:p w14:paraId="1122113C" w14:textId="33044D57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date of the invoice;</w:t>
            </w:r>
          </w:p>
        </w:tc>
      </w:tr>
      <w:tr w:rsidR="00DF4022" w:rsidRPr="00FA4414" w14:paraId="67FECCF6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74B09E7" w14:textId="6B3BA1FB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валюта счёта-фактуры (инвойса), соответствующая валюте Договора;</w:t>
            </w:r>
          </w:p>
        </w:tc>
        <w:tc>
          <w:tcPr>
            <w:tcW w:w="4821" w:type="dxa"/>
          </w:tcPr>
          <w:p w14:paraId="14C7E752" w14:textId="0BB39C86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шот-фактураның (инвойстың) Шарттың валютасына сәйкес келетін валютасы;</w:t>
            </w:r>
          </w:p>
        </w:tc>
        <w:tc>
          <w:tcPr>
            <w:tcW w:w="4825" w:type="dxa"/>
          </w:tcPr>
          <w:p w14:paraId="5401E6C4" w14:textId="2A7C53B6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 xml:space="preserve">currency of the invoice matching the currency of the </w:t>
            </w:r>
            <w:r w:rsidR="0023594F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;</w:t>
            </w:r>
          </w:p>
        </w:tc>
      </w:tr>
      <w:tr w:rsidR="00DF4022" w:rsidRPr="00FA4414" w14:paraId="03ECB1D5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3509D874" w14:textId="245C4A2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Договора, номер и дата Заказа на поставку</w:t>
            </w:r>
          </w:p>
        </w:tc>
        <w:tc>
          <w:tcPr>
            <w:tcW w:w="4821" w:type="dxa"/>
          </w:tcPr>
          <w:p w14:paraId="55C1A0DF" w14:textId="05EEACC5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Шарттың нөмірі мен күні, жеткізуге арналған Тапсырыстың нөмірі мен күні</w:t>
            </w:r>
          </w:p>
        </w:tc>
        <w:tc>
          <w:tcPr>
            <w:tcW w:w="4825" w:type="dxa"/>
          </w:tcPr>
          <w:p w14:paraId="004576D6" w14:textId="01C04161" w:rsidR="00DF4022" w:rsidRPr="00C241D0" w:rsidRDefault="0023594F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Agreement </w:t>
            </w:r>
            <w:r w:rsidR="00DF4022"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number and date, Purchase Order number and date</w:t>
            </w:r>
          </w:p>
        </w:tc>
      </w:tr>
      <w:tr w:rsidR="00377E50" w:rsidRPr="006A4F6B" w14:paraId="79D72D9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A6EF3CD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lastRenderedPageBreak/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Дополнительные положения:</w:t>
            </w:r>
          </w:p>
        </w:tc>
        <w:tc>
          <w:tcPr>
            <w:tcW w:w="4821" w:type="dxa"/>
          </w:tcPr>
          <w:p w14:paraId="7D8BC2E4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Қосымша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ережелер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825" w:type="dxa"/>
          </w:tcPr>
          <w:p w14:paraId="75C0A06B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Additional Terms:</w:t>
            </w:r>
          </w:p>
        </w:tc>
      </w:tr>
      <w:tr w:rsidR="00DF4022" w:rsidRPr="00FA4414" w14:paraId="1DA8B07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EFC07E4" w14:textId="4E74EFD2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Каждая из позиций в электронном счёте-фактуре (инвойсе) должна содержать ссылку на соответствующую часть Договора</w:t>
            </w:r>
            <w:r w:rsidR="00C241D0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1" w:type="dxa"/>
          </w:tcPr>
          <w:p w14:paraId="35C7852E" w14:textId="064C2D33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Электрондық шот-фактураның (инвойстың) әрқайсысында Шарттың тиісті бөлігіне сілтеме берілуі керек.</w:t>
            </w:r>
          </w:p>
        </w:tc>
        <w:tc>
          <w:tcPr>
            <w:tcW w:w="4825" w:type="dxa"/>
          </w:tcPr>
          <w:p w14:paraId="424CF6E6" w14:textId="4EF95C3E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Each item of the electronic invoice shall contain a reference to the relevant part of the </w:t>
            </w:r>
            <w:r w:rsidR="0023594F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Agreement.</w:t>
            </w:r>
          </w:p>
        </w:tc>
      </w:tr>
      <w:tr w:rsidR="00DF4022" w:rsidRPr="00FA4414" w14:paraId="298BCA3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6B85C58D" w14:textId="44EB36F6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счёт-фактура, выставляется на портале esf.gov.kz после письменного согласования Акта выполненных работ представителями ТОО «KAZ Minerals </w:t>
            </w:r>
            <w:proofErr w:type="spellStart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Aktogay</w:t>
            </w:r>
            <w:proofErr w:type="spellEnd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» (КАЗ </w:t>
            </w:r>
            <w:proofErr w:type="spellStart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Минералз</w:t>
            </w:r>
            <w:proofErr w:type="spellEnd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Актогай) / ТОО «KAZ Minerals Bozshakol» (КАЗ </w:t>
            </w:r>
            <w:proofErr w:type="spellStart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Минералз</w:t>
            </w:r>
            <w:proofErr w:type="spellEnd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Бозшаколь) (не применимо, если Подрядчиком по Договору Подряда является нерезидент Республики Казахстан).</w:t>
            </w:r>
          </w:p>
        </w:tc>
        <w:tc>
          <w:tcPr>
            <w:tcW w:w="4821" w:type="dxa"/>
          </w:tcPr>
          <w:p w14:paraId="05F89EA6" w14:textId="4EC53E36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«KAZ Minerals Aktogay» (КАЗ Минералз Ақтоғай) ЖШС/ «KAZ Minerals Bozshakol» (КАЗ Минералз Бозшаколь) ЖШС өкілдері Орындалған жұмыстар актісін жазбаша түрде келісімге алғаннан кейін esf.gov.kz порталына электрондық шот-фактура ұсынылады (егер Мердігерлік шарт бойынша Мердігер Қазақстан Республикасының резиденті болмаса, қолданылмайды).</w:t>
            </w:r>
          </w:p>
        </w:tc>
        <w:tc>
          <w:tcPr>
            <w:tcW w:w="4825" w:type="dxa"/>
          </w:tcPr>
          <w:p w14:paraId="2DEAF37D" w14:textId="0A09DE06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The electronic invoice shall be issued on the esf.gov.kz portal after a written approval of the Work Completion Certificate by the representatives of KAZ Minerals </w:t>
            </w:r>
            <w:proofErr w:type="spellStart"/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Aktogay</w:t>
            </w:r>
            <w:proofErr w:type="spellEnd"/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LLC/KAZ Minerals Bozshakol LLC (not applicable if the Contractor under the </w:t>
            </w:r>
            <w:r w:rsidR="0023594F">
              <w:rPr>
                <w:rFonts w:ascii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is a non-resident of the Republic of Kazakhstan).</w:t>
            </w:r>
          </w:p>
        </w:tc>
      </w:tr>
      <w:tr w:rsidR="00DF4022" w:rsidRPr="00FA4414" w14:paraId="54D3BFA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2D89416" w14:textId="355D94A9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Инвойс (если Подрядчиком по Договору Подряда является нерезидент Республики Казахстан) и сопроводительные документы (Акт выполненных работ, табеля учёта рабочего времени, квитанции и прочие документы, указанные в Договоре) предоставляются в оригинале.</w:t>
            </w:r>
          </w:p>
        </w:tc>
        <w:tc>
          <w:tcPr>
            <w:tcW w:w="4821" w:type="dxa"/>
          </w:tcPr>
          <w:p w14:paraId="79B60B79" w14:textId="3F088A53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Инвойс (егер Мердігерлік Шарт бойынша Мердігер Қазақстан Республикасының бейрезиденті болса) және ілеспе құжаттар (Орындалған жұмыстар актісі, жұмыс уақытын есепке алу табельдері, түбіртектер және Шартта көрсетілген басқа да құжаттар) түпнұсқада ұсынылады.</w:t>
            </w:r>
          </w:p>
        </w:tc>
        <w:tc>
          <w:tcPr>
            <w:tcW w:w="4825" w:type="dxa"/>
          </w:tcPr>
          <w:p w14:paraId="3BB61F18" w14:textId="1E001282" w:rsidR="00DF4022" w:rsidRPr="00C241D0" w:rsidRDefault="00DF4022" w:rsidP="008A68A7">
            <w:pPr>
              <w:pStyle w:val="aa"/>
              <w:numPr>
                <w:ilvl w:val="0"/>
                <w:numId w:val="6"/>
              </w:numPr>
              <w:tabs>
                <w:tab w:val="num" w:pos="0"/>
              </w:tabs>
              <w:spacing w:after="60" w:line="200" w:lineRule="exact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The invoice (if the Contractor under the </w:t>
            </w:r>
            <w:r w:rsidR="0023594F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 is a non-resident of the Republic of Kazakhstan) and accompanying documents (Work Completion Certificate, timesheets, </w:t>
            </w:r>
            <w:proofErr w:type="gramStart"/>
            <w:r w:rsidRPr="00C241D0">
              <w:rPr>
                <w:rFonts w:cs="Times New Roman"/>
                <w:sz w:val="16"/>
                <w:szCs w:val="16"/>
                <w:lang w:val="en"/>
              </w:rPr>
              <w:t>receipts</w:t>
            </w:r>
            <w:proofErr w:type="gramEnd"/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 and other documents specified in the </w:t>
            </w:r>
            <w:r w:rsidR="0023594F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) shall be provided in their original form.</w:t>
            </w:r>
          </w:p>
        </w:tc>
      </w:tr>
      <w:tr w:rsidR="00377E50" w:rsidRPr="006A4F6B" w14:paraId="6F69A44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A6D0F29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Банковские реквизиты</w:t>
            </w:r>
          </w:p>
        </w:tc>
        <w:tc>
          <w:tcPr>
            <w:tcW w:w="4821" w:type="dxa"/>
          </w:tcPr>
          <w:p w14:paraId="24EB8465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Банктік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деректемелер</w:t>
            </w:r>
            <w:proofErr w:type="spellEnd"/>
          </w:p>
        </w:tc>
        <w:tc>
          <w:tcPr>
            <w:tcW w:w="4825" w:type="dxa"/>
          </w:tcPr>
          <w:p w14:paraId="7A42CAC3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Banking details</w:t>
            </w:r>
          </w:p>
        </w:tc>
      </w:tr>
      <w:tr w:rsidR="00377E50" w:rsidRPr="00FA4414" w14:paraId="6638CC7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2CF56E9" w14:textId="08CE0F79" w:rsidR="00377E50" w:rsidRPr="00C241D0" w:rsidRDefault="00377E50" w:rsidP="00A32A76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О любых изменениях в банковских реквизитах Подрядчик обязан незамедлительно сообщать представителю Заказчика в письменном виде с дальнейшим подписанием соответствующего Изменения к Договору.</w:t>
            </w:r>
          </w:p>
        </w:tc>
        <w:tc>
          <w:tcPr>
            <w:tcW w:w="4821" w:type="dxa"/>
          </w:tcPr>
          <w:p w14:paraId="44A91768" w14:textId="7336BE91" w:rsidR="00377E50" w:rsidRPr="00C241D0" w:rsidRDefault="00C241D0" w:rsidP="00A32A76">
            <w:pPr>
              <w:pStyle w:val="aa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 w:rsidRPr="00C241D0">
              <w:rPr>
                <w:rFonts w:cs="Times New Roman"/>
                <w:sz w:val="16"/>
                <w:szCs w:val="16"/>
                <w:lang w:val="kk-KZ"/>
              </w:rPr>
              <w:t>Мердігер кейіннен Шартқа енгізілген тиісті Өзгертулерге қол қоя отырып, банктік деректемелердегі кез келген өзгерістер туралы Тапсырыс берушінің өкіліне жазбаша түрде дереу хабарлауға міндетті.</w:t>
            </w:r>
          </w:p>
        </w:tc>
        <w:tc>
          <w:tcPr>
            <w:tcW w:w="4825" w:type="dxa"/>
          </w:tcPr>
          <w:p w14:paraId="1626B6A0" w14:textId="0F599E11" w:rsidR="00377E50" w:rsidRPr="00C241D0" w:rsidRDefault="00DF4022" w:rsidP="00A32A76">
            <w:pPr>
              <w:pStyle w:val="aa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The Customer’s representatives shall be immediately notified in writing about any changes in the banking details with further signing of the Changes to the </w:t>
            </w:r>
            <w:r w:rsidR="0023594F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.</w:t>
            </w:r>
          </w:p>
        </w:tc>
      </w:tr>
    </w:tbl>
    <w:p w14:paraId="279DAD25" w14:textId="77777777" w:rsidR="00377E50" w:rsidRPr="006A4F6B" w:rsidRDefault="00377E50" w:rsidP="001E4DC5">
      <w:pPr>
        <w:spacing w:after="6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377E50" w:rsidRPr="006A4F6B" w:rsidSect="00B26375">
      <w:footerReference w:type="default" r:id="rId17"/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56B" w14:textId="77777777" w:rsidR="00164D00" w:rsidRDefault="00164D00" w:rsidP="00B26375">
      <w:pPr>
        <w:spacing w:after="0" w:line="240" w:lineRule="auto"/>
      </w:pPr>
      <w:r>
        <w:separator/>
      </w:r>
    </w:p>
  </w:endnote>
  <w:endnote w:type="continuationSeparator" w:id="0">
    <w:p w14:paraId="12ACA762" w14:textId="77777777" w:rsidR="00164D00" w:rsidRDefault="00164D00" w:rsidP="00B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37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6"/>
        <w:szCs w:val="16"/>
      </w:rPr>
    </w:sdtEndPr>
    <w:sdtContent>
      <w:p w14:paraId="087E344D" w14:textId="21B5378D" w:rsidR="00B26375" w:rsidRPr="00B26375" w:rsidRDefault="00B26375">
        <w:pPr>
          <w:pStyle w:val="af7"/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  <w:lang w:val="en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6"/>
            <w:szCs w:val="16"/>
            <w:lang w:val="en"/>
          </w:rPr>
          <w:t>2</w: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end"/>
        </w:r>
      </w:p>
    </w:sdtContent>
  </w:sdt>
  <w:p w14:paraId="5AAAA1C4" w14:textId="77777777" w:rsidR="00B26375" w:rsidRDefault="00B2637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D042" w14:textId="77777777" w:rsidR="00164D00" w:rsidRDefault="00164D00" w:rsidP="00B26375">
      <w:pPr>
        <w:spacing w:after="0" w:line="240" w:lineRule="auto"/>
      </w:pPr>
      <w:r>
        <w:separator/>
      </w:r>
    </w:p>
  </w:footnote>
  <w:footnote w:type="continuationSeparator" w:id="0">
    <w:p w14:paraId="37ED08E2" w14:textId="77777777" w:rsidR="00164D00" w:rsidRDefault="00164D00" w:rsidP="00B2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730112"/>
    <w:multiLevelType w:val="multilevel"/>
    <w:tmpl w:val="620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443135"/>
    <w:multiLevelType w:val="hybridMultilevel"/>
    <w:tmpl w:val="FF3081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51117"/>
    <w:multiLevelType w:val="hybridMultilevel"/>
    <w:tmpl w:val="AB5ED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370CD"/>
    <w:multiLevelType w:val="hybridMultilevel"/>
    <w:tmpl w:val="26B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6201"/>
    <w:multiLevelType w:val="multilevel"/>
    <w:tmpl w:val="09F8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A5269"/>
    <w:multiLevelType w:val="hybridMultilevel"/>
    <w:tmpl w:val="25B4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2D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E811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3414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4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792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23283">
    <w:abstractNumId w:val="8"/>
  </w:num>
  <w:num w:numId="5" w16cid:durableId="641692682">
    <w:abstractNumId w:val="2"/>
  </w:num>
  <w:num w:numId="6" w16cid:durableId="2069067017">
    <w:abstractNumId w:val="9"/>
  </w:num>
  <w:num w:numId="7" w16cid:durableId="457653116">
    <w:abstractNumId w:val="0"/>
  </w:num>
  <w:num w:numId="8" w16cid:durableId="1205942914">
    <w:abstractNumId w:val="5"/>
  </w:num>
  <w:num w:numId="9" w16cid:durableId="1354384673">
    <w:abstractNumId w:val="4"/>
  </w:num>
  <w:num w:numId="10" w16cid:durableId="1119184743">
    <w:abstractNumId w:val="3"/>
  </w:num>
  <w:num w:numId="11" w16cid:durableId="115147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A1"/>
    <w:rsid w:val="00001C52"/>
    <w:rsid w:val="00025C0D"/>
    <w:rsid w:val="00064DD7"/>
    <w:rsid w:val="000A3DB3"/>
    <w:rsid w:val="000A644E"/>
    <w:rsid w:val="000C0C1B"/>
    <w:rsid w:val="000E29E5"/>
    <w:rsid w:val="000F0280"/>
    <w:rsid w:val="000F03D7"/>
    <w:rsid w:val="000F0585"/>
    <w:rsid w:val="000F3A0F"/>
    <w:rsid w:val="00100F16"/>
    <w:rsid w:val="00102AB7"/>
    <w:rsid w:val="00164D00"/>
    <w:rsid w:val="00173DB7"/>
    <w:rsid w:val="00196174"/>
    <w:rsid w:val="001E05D1"/>
    <w:rsid w:val="001E4DC5"/>
    <w:rsid w:val="001F3285"/>
    <w:rsid w:val="00211DB3"/>
    <w:rsid w:val="00223C87"/>
    <w:rsid w:val="00226FFA"/>
    <w:rsid w:val="0023594F"/>
    <w:rsid w:val="00245888"/>
    <w:rsid w:val="00266ED4"/>
    <w:rsid w:val="002674F4"/>
    <w:rsid w:val="0027231A"/>
    <w:rsid w:val="002A29C9"/>
    <w:rsid w:val="002A67B7"/>
    <w:rsid w:val="002C2006"/>
    <w:rsid w:val="002C304E"/>
    <w:rsid w:val="002F2731"/>
    <w:rsid w:val="00305143"/>
    <w:rsid w:val="00323131"/>
    <w:rsid w:val="003357F2"/>
    <w:rsid w:val="0034527E"/>
    <w:rsid w:val="00356E49"/>
    <w:rsid w:val="00377E50"/>
    <w:rsid w:val="003A7123"/>
    <w:rsid w:val="003F3BCA"/>
    <w:rsid w:val="003F69ED"/>
    <w:rsid w:val="00411259"/>
    <w:rsid w:val="00414D6C"/>
    <w:rsid w:val="00473F81"/>
    <w:rsid w:val="00484AB0"/>
    <w:rsid w:val="0049324E"/>
    <w:rsid w:val="004A351D"/>
    <w:rsid w:val="004A5280"/>
    <w:rsid w:val="004B624B"/>
    <w:rsid w:val="004C0734"/>
    <w:rsid w:val="004C12BB"/>
    <w:rsid w:val="004C145A"/>
    <w:rsid w:val="0050380D"/>
    <w:rsid w:val="00511F4B"/>
    <w:rsid w:val="00527587"/>
    <w:rsid w:val="0054575B"/>
    <w:rsid w:val="00582A84"/>
    <w:rsid w:val="00597AFB"/>
    <w:rsid w:val="005A6884"/>
    <w:rsid w:val="006024B9"/>
    <w:rsid w:val="00611608"/>
    <w:rsid w:val="00622DD4"/>
    <w:rsid w:val="006443BF"/>
    <w:rsid w:val="006626A1"/>
    <w:rsid w:val="006674C4"/>
    <w:rsid w:val="00677FF9"/>
    <w:rsid w:val="0069546C"/>
    <w:rsid w:val="006A4F6B"/>
    <w:rsid w:val="006B69CF"/>
    <w:rsid w:val="00703FC4"/>
    <w:rsid w:val="007156BB"/>
    <w:rsid w:val="00753274"/>
    <w:rsid w:val="00774847"/>
    <w:rsid w:val="00792654"/>
    <w:rsid w:val="007960FD"/>
    <w:rsid w:val="007A1700"/>
    <w:rsid w:val="007B1D68"/>
    <w:rsid w:val="007B2CAB"/>
    <w:rsid w:val="007B3DB2"/>
    <w:rsid w:val="007B6A94"/>
    <w:rsid w:val="007C1061"/>
    <w:rsid w:val="007C4DF7"/>
    <w:rsid w:val="007E5309"/>
    <w:rsid w:val="008047E3"/>
    <w:rsid w:val="00861ACB"/>
    <w:rsid w:val="00894944"/>
    <w:rsid w:val="008A68A7"/>
    <w:rsid w:val="008E5D37"/>
    <w:rsid w:val="008F02BE"/>
    <w:rsid w:val="008F4CF0"/>
    <w:rsid w:val="00926B67"/>
    <w:rsid w:val="009526D9"/>
    <w:rsid w:val="00962A44"/>
    <w:rsid w:val="009A51EA"/>
    <w:rsid w:val="009A77ED"/>
    <w:rsid w:val="009B12A8"/>
    <w:rsid w:val="009D07FD"/>
    <w:rsid w:val="009E31FA"/>
    <w:rsid w:val="009E73B8"/>
    <w:rsid w:val="009F545E"/>
    <w:rsid w:val="00A02E7C"/>
    <w:rsid w:val="00A1086E"/>
    <w:rsid w:val="00A21BE1"/>
    <w:rsid w:val="00A32A76"/>
    <w:rsid w:val="00A41517"/>
    <w:rsid w:val="00A76332"/>
    <w:rsid w:val="00A81114"/>
    <w:rsid w:val="00A82C28"/>
    <w:rsid w:val="00A95AE5"/>
    <w:rsid w:val="00AC3ECB"/>
    <w:rsid w:val="00B26375"/>
    <w:rsid w:val="00B407B4"/>
    <w:rsid w:val="00B40B0E"/>
    <w:rsid w:val="00B75973"/>
    <w:rsid w:val="00BB532F"/>
    <w:rsid w:val="00BD15E3"/>
    <w:rsid w:val="00BD48C2"/>
    <w:rsid w:val="00BE08B9"/>
    <w:rsid w:val="00C03BF3"/>
    <w:rsid w:val="00C22AD7"/>
    <w:rsid w:val="00C241D0"/>
    <w:rsid w:val="00C428DA"/>
    <w:rsid w:val="00C76D29"/>
    <w:rsid w:val="00C77A94"/>
    <w:rsid w:val="00C85132"/>
    <w:rsid w:val="00C90C6A"/>
    <w:rsid w:val="00CC099B"/>
    <w:rsid w:val="00D1195A"/>
    <w:rsid w:val="00D12D42"/>
    <w:rsid w:val="00D24F2D"/>
    <w:rsid w:val="00D2531D"/>
    <w:rsid w:val="00D70387"/>
    <w:rsid w:val="00D754A1"/>
    <w:rsid w:val="00D858F9"/>
    <w:rsid w:val="00DA006F"/>
    <w:rsid w:val="00DB4FB7"/>
    <w:rsid w:val="00DC5AE1"/>
    <w:rsid w:val="00DF0D2E"/>
    <w:rsid w:val="00DF4022"/>
    <w:rsid w:val="00E0269B"/>
    <w:rsid w:val="00E105B7"/>
    <w:rsid w:val="00E345CC"/>
    <w:rsid w:val="00E66630"/>
    <w:rsid w:val="00E966DE"/>
    <w:rsid w:val="00EE540D"/>
    <w:rsid w:val="00EE636A"/>
    <w:rsid w:val="00EF7F26"/>
    <w:rsid w:val="00F06473"/>
    <w:rsid w:val="00F06715"/>
    <w:rsid w:val="00F12878"/>
    <w:rsid w:val="00F219FE"/>
    <w:rsid w:val="00F33EE5"/>
    <w:rsid w:val="00F47DD6"/>
    <w:rsid w:val="00F56762"/>
    <w:rsid w:val="00F671ED"/>
    <w:rsid w:val="00F70BF6"/>
    <w:rsid w:val="00F76632"/>
    <w:rsid w:val="00F8137E"/>
    <w:rsid w:val="00FA4414"/>
    <w:rsid w:val="00FB1B19"/>
    <w:rsid w:val="00FB3AC1"/>
    <w:rsid w:val="00FD1C7F"/>
    <w:rsid w:val="00FE5BF8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3C2"/>
  <w15:chartTrackingRefBased/>
  <w15:docId w15:val="{4F8522F4-4DFC-45CE-B401-62C2C8E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34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73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D7"/>
    <w:rPr>
      <w:rFonts w:ascii="Segoe UI" w:eastAsia="MS Mincho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1195A"/>
    <w:rPr>
      <w:color w:val="0563C1" w:themeColor="hyperlink"/>
      <w:u w:val="single"/>
    </w:rPr>
  </w:style>
  <w:style w:type="character" w:customStyle="1" w:styleId="oradatatext1">
    <w:name w:val="oradatatext1"/>
    <w:basedOn w:val="a0"/>
    <w:rsid w:val="009F545E"/>
    <w:rPr>
      <w:rFonts w:ascii="Helvetica" w:hAnsi="Helvetica" w:hint="default"/>
      <w:color w:val="333333"/>
      <w:sz w:val="18"/>
      <w:szCs w:val="18"/>
    </w:rPr>
  </w:style>
  <w:style w:type="paragraph" w:styleId="a7">
    <w:name w:val="No Spacing"/>
    <w:link w:val="a8"/>
    <w:uiPriority w:val="1"/>
    <w:qFormat/>
    <w:rsid w:val="0069546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9546C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8F4CF0"/>
    <w:rPr>
      <w:i/>
      <w:iCs/>
    </w:rPr>
  </w:style>
  <w:style w:type="paragraph" w:styleId="aa">
    <w:name w:val="List Paragraph"/>
    <w:aliases w:val="Абзац"/>
    <w:basedOn w:val="a"/>
    <w:link w:val="ab"/>
    <w:uiPriority w:val="34"/>
    <w:qFormat/>
    <w:rsid w:val="00703FC4"/>
    <w:pPr>
      <w:spacing w:before="120" w:after="280" w:line="240" w:lineRule="auto"/>
      <w:ind w:left="720"/>
      <w:contextualSpacing/>
    </w:pPr>
    <w:rPr>
      <w:rFonts w:ascii="Times New Roman" w:eastAsiaTheme="minorHAnsi" w:hAnsi="Times New Roman"/>
      <w:sz w:val="28"/>
    </w:rPr>
  </w:style>
  <w:style w:type="character" w:customStyle="1" w:styleId="ab">
    <w:name w:val="Абзац списка Знак"/>
    <w:aliases w:val="Абзац Знак"/>
    <w:link w:val="aa"/>
    <w:uiPriority w:val="34"/>
    <w:locked/>
    <w:rsid w:val="00703FC4"/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100F1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100F16"/>
    <w:rPr>
      <w:rFonts w:ascii="Calibri" w:hAnsi="Calibri" w:cs="Calibri"/>
    </w:rPr>
  </w:style>
  <w:style w:type="character" w:styleId="ae">
    <w:name w:val="Unresolved Mention"/>
    <w:basedOn w:val="a0"/>
    <w:uiPriority w:val="99"/>
    <w:semiHidden/>
    <w:unhideWhenUsed/>
    <w:rsid w:val="008F02B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BD48C2"/>
  </w:style>
  <w:style w:type="character" w:styleId="af">
    <w:name w:val="Strong"/>
    <w:basedOn w:val="a0"/>
    <w:uiPriority w:val="22"/>
    <w:qFormat/>
    <w:rsid w:val="00266ED4"/>
    <w:rPr>
      <w:b/>
      <w:bCs/>
    </w:rPr>
  </w:style>
  <w:style w:type="paragraph" w:styleId="af0">
    <w:name w:val="Body Text"/>
    <w:basedOn w:val="a"/>
    <w:link w:val="af1"/>
    <w:uiPriority w:val="99"/>
    <w:unhideWhenUsed/>
    <w:rsid w:val="004C12BB"/>
    <w:pPr>
      <w:spacing w:before="120" w:after="120" w:line="240" w:lineRule="auto"/>
    </w:pPr>
    <w:rPr>
      <w:rFonts w:ascii="Times New Roman" w:eastAsiaTheme="minorHAnsi" w:hAnsi="Times New Roman"/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4C12BB"/>
    <w:rPr>
      <w:rFonts w:ascii="Times New Roman" w:hAnsi="Times New Roman"/>
      <w:sz w:val="28"/>
    </w:rPr>
  </w:style>
  <w:style w:type="paragraph" w:customStyle="1" w:styleId="ListParagraph1">
    <w:name w:val="List Paragraph1"/>
    <w:basedOn w:val="a"/>
    <w:uiPriority w:val="72"/>
    <w:qFormat/>
    <w:rsid w:val="004C12BB"/>
    <w:pPr>
      <w:ind w:left="720"/>
      <w:contextualSpacing/>
    </w:pPr>
    <w:rPr>
      <w:rFonts w:ascii="Calibri" w:eastAsia="SimSun" w:hAnsi="Calibri" w:cs="Times New Roman"/>
    </w:rPr>
  </w:style>
  <w:style w:type="character" w:styleId="af2">
    <w:name w:val="annotation reference"/>
    <w:basedOn w:val="a0"/>
    <w:uiPriority w:val="99"/>
    <w:semiHidden/>
    <w:unhideWhenUsed/>
    <w:rsid w:val="00F70BF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70BF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70BF6"/>
    <w:rPr>
      <w:rFonts w:eastAsia="MS Mincho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70B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70BF6"/>
    <w:rPr>
      <w:rFonts w:eastAsia="MS Mincho"/>
      <w:b/>
      <w:bCs/>
      <w:sz w:val="20"/>
      <w:szCs w:val="20"/>
    </w:rPr>
  </w:style>
  <w:style w:type="character" w:customStyle="1" w:styleId="ui-provider">
    <w:name w:val="ui-provider"/>
    <w:basedOn w:val="a0"/>
    <w:rsid w:val="00B75973"/>
  </w:style>
  <w:style w:type="table" w:customStyle="1" w:styleId="1">
    <w:name w:val="Сетка таблицы1"/>
    <w:basedOn w:val="a1"/>
    <w:next w:val="a3"/>
    <w:uiPriority w:val="39"/>
    <w:rsid w:val="003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B2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26375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L.AP.Accountants@Kazmineral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L_AP_Assistant@Kazmineral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AL.AP.Accountants@Kazmineral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BL_AP_Accountants@Kazmineral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KBL_AP_Assistant@Kazminerals.com" TargetMode="External"/><Relationship Id="rId10" Type="http://schemas.openxmlformats.org/officeDocument/2006/relationships/hyperlink" Target="mailto:KAL.AP.Accountants@Kazminerals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bl_AP_Accountants@Kazminera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FEA58E59798F46A09DDE531DB00CF7" ma:contentTypeVersion="17" ma:contentTypeDescription="Создание документа." ma:contentTypeScope="" ma:versionID="528b4439ebbd60335245e5154f47f36f">
  <xsd:schema xmlns:xsd="http://www.w3.org/2001/XMLSchema" xmlns:xs="http://www.w3.org/2001/XMLSchema" xmlns:p="http://schemas.microsoft.com/office/2006/metadata/properties" xmlns:ns3="6ec8c8cd-3558-4cbd-9cb0-ec7e588ff3bb" xmlns:ns4="18b52289-f9b8-4401-ab8d-3742e1b3b7b4" targetNamespace="http://schemas.microsoft.com/office/2006/metadata/properties" ma:root="true" ma:fieldsID="6fbd0f60a72951d0158eb87e4d303167" ns3:_="" ns4:_="">
    <xsd:import namespace="6ec8c8cd-3558-4cbd-9cb0-ec7e588ff3bb"/>
    <xsd:import namespace="18b52289-f9b8-4401-ab8d-3742e1b3b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c8cd-3558-4cbd-9cb0-ec7e588ff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52289-f9b8-4401-ab8d-3742e1b3b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8c8cd-3558-4cbd-9cb0-ec7e588ff3bb" xsi:nil="true"/>
  </documentManagement>
</p:properties>
</file>

<file path=customXml/itemProps1.xml><?xml version="1.0" encoding="utf-8"?>
<ds:datastoreItem xmlns:ds="http://schemas.openxmlformats.org/officeDocument/2006/customXml" ds:itemID="{AD5C44EA-AD51-428A-B287-D9461E29B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8c8cd-3558-4cbd-9cb0-ec7e588ff3bb"/>
    <ds:schemaRef ds:uri="18b52289-f9b8-4401-ab8d-3742e1b3b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10DDA-670C-405C-BBB9-1AAE42E00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147AF-31E5-484A-9FE8-D991C68042CC}">
  <ds:schemaRefs>
    <ds:schemaRef ds:uri="http://purl.org/dc/terms/"/>
    <ds:schemaRef ds:uri="18b52289-f9b8-4401-ab8d-3742e1b3b7b4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ec8c8cd-3558-4cbd-9cb0-ec7e588ff3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 Minerals PLC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 Svankulova</dc:creator>
  <cp:keywords/>
  <dc:description/>
  <cp:lastModifiedBy>Mikhail Faizrakhmanov</cp:lastModifiedBy>
  <cp:revision>2</cp:revision>
  <cp:lastPrinted>2023-03-28T03:13:00Z</cp:lastPrinted>
  <dcterms:created xsi:type="dcterms:W3CDTF">2023-11-17T02:59:00Z</dcterms:created>
  <dcterms:modified xsi:type="dcterms:W3CDTF">2023-11-17T02:59:00Z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0x0101001BFEA58E59798F46A09DDE531DB00CF7</vt:lpwstr>
  </property>
</Properties>
</file>